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1" w:after="0" w:line="190" w:lineRule="exact"/>
        <w:jc w:val="left"/>
        <w:rPr>
          <w:sz w:val="19"/>
          <w:szCs w:val="19"/>
        </w:rPr>
      </w:pPr>
      <w:r>
        <w:rPr>
          <w:sz w:val="19"/>
          <w:szCs w:val="19"/>
        </w:rPr>
      </w:r>
    </w:p>
    <w:p>
      <w:pPr>
        <w:spacing w:line="190" w:lineRule="exact" w:after="0"/>
        <w:jc w:val="left"/>
        <w:rPr>
          <w:sz w:val="19"/>
          <w:szCs w:val="19"/>
        </w:rPr>
        <w:sectPr>
          <w:headerReference w:type="default" r:id="rId5"/>
          <w:footerReference w:type="default" r:id="rId6"/>
          <w:type w:val="continuous"/>
          <w:pgSz w:w="11900" w:h="16820"/>
          <w:pgMar w:header="299" w:footer="1582" w:top="1040" w:bottom="1780" w:left="620" w:right="520"/>
          <w:pgNumType w:start="1"/>
        </w:sectPr>
      </w:pPr>
    </w:p>
    <w:p>
      <w:pPr>
        <w:spacing w:before="0" w:after="0" w:line="284"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产品概述</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一种两罐装、无焦油、环氧连接漆。</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94"/>
            <w:col w:w="8448"/>
          </w:cols>
        </w:sectPr>
      </w:pPr>
    </w:p>
    <w:p>
      <w:pPr>
        <w:spacing w:before="7"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2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850006pt;margin-top:-3.760176pt;width:414pt;height:.1pt;mso-position-horizontal-relative:page;mso-position-vertical-relative:paragraph;z-index:-575"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sz w:val="22"/>
          <w:szCs w:val="22"/>
        </w:rPr>
        <w:t>预期用途</w:t>
      </w:r>
    </w:p>
    <w:p>
      <w:pPr>
        <w:spacing w:before="7" w:after="0" w:line="185" w:lineRule="auto"/>
        <w:ind w:right="1521"/>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一种用于防锈漆和防污漆之间的过渡涂料，用以确保在船舶外壳区域上能获得最佳的体系附着力。</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一种用于含三丁基锡（TBT）防污漆的封闭涂层。</w:t>
      </w:r>
      <w:r>
        <w:rPr>
          <w:rFonts w:ascii="Arial Unicode MS" w:hAnsi="Arial Unicode MS" w:cs="Arial Unicode MS" w:eastAsia="Arial Unicode MS"/>
          <w:spacing w:val="0"/>
          <w:w w:val="100"/>
          <w:sz w:val="16"/>
          <w:szCs w:val="16"/>
        </w:rPr>
      </w:r>
    </w:p>
    <w:p>
      <w:pPr>
        <w:spacing w:before="0" w:after="0" w:line="213" w:lineRule="exact"/>
        <w:ind w:right="-20"/>
        <w:jc w:val="left"/>
        <w:rPr>
          <w:rFonts w:ascii="Arial Unicode MS" w:hAnsi="Arial Unicode MS" w:cs="Arial Unicode MS" w:eastAsia="Arial Unicode MS"/>
          <w:sz w:val="16"/>
          <w:szCs w:val="16"/>
        </w:rPr>
      </w:pPr>
      <w:r>
        <w:rPr/>
        <w:pict>
          <v:group style="position:absolute;margin-left:145.850006pt;margin-top:18.553381pt;width:414pt;height:.1pt;mso-position-horizontal-relative:page;mso-position-vertical-relative:paragraph;z-index:-574" coordorigin="2917,371" coordsize="8280,2">
            <v:shape style="position:absolute;left:2917;top:371;width:8280;height:2" coordorigin="2917,371" coordsize="8280,0" path="m2917,371l11197,371e" filled="f" stroked="t" strokeweight="1.5pt" strokecolor="#000000">
              <v:path arrowok="t"/>
            </v:shape>
            <w10:wrap type="none"/>
          </v:group>
        </w:pict>
      </w:r>
      <w:r>
        <w:rPr>
          <w:rFonts w:ascii="Arial Unicode MS" w:hAnsi="Arial Unicode MS" w:cs="Arial Unicode MS" w:eastAsia="Arial Unicode MS"/>
          <w:spacing w:val="0"/>
          <w:w w:val="100"/>
          <w:position w:val="0"/>
          <w:sz w:val="16"/>
          <w:szCs w:val="16"/>
        </w:rPr>
        <w:t>用于新造船、维修和保养或在航保养。</w:t>
      </w:r>
      <w:r>
        <w:rPr>
          <w:rFonts w:ascii="Arial Unicode MS" w:hAnsi="Arial Unicode MS" w:cs="Arial Unicode MS" w:eastAsia="Arial Unicode MS"/>
          <w:spacing w:val="0"/>
          <w:w w:val="100"/>
          <w:position w:val="0"/>
          <w:sz w:val="16"/>
          <w:szCs w:val="16"/>
        </w:rPr>
      </w:r>
    </w:p>
    <w:p>
      <w:pPr>
        <w:spacing w:line="213"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79"/>
            <w:col w:w="8463"/>
          </w:cols>
        </w:sectPr>
      </w:pPr>
    </w:p>
    <w:p>
      <w:pPr>
        <w:spacing w:before="13" w:after="0" w:line="220" w:lineRule="exact"/>
        <w:jc w:val="left"/>
        <w:rPr>
          <w:sz w:val="22"/>
          <w:szCs w:val="22"/>
        </w:rPr>
      </w:pPr>
      <w:r>
        <w:rPr>
          <w:sz w:val="22"/>
          <w:szCs w:val="22"/>
        </w:rPr>
      </w:r>
    </w:p>
    <w:p>
      <w:pPr>
        <w:spacing w:line="220" w:lineRule="exact" w:after="0"/>
        <w:jc w:val="left"/>
        <w:rPr>
          <w:sz w:val="22"/>
          <w:szCs w:val="22"/>
        </w:rPr>
        <w:sectPr>
          <w:type w:val="continuous"/>
          <w:pgSz w:w="11900" w:h="16820"/>
          <w:pgMar w:top="1040" w:bottom="1780" w:left="620" w:right="520"/>
        </w:sectPr>
      </w:pPr>
    </w:p>
    <w:p>
      <w:pPr>
        <w:tabs>
          <w:tab w:pos="2280" w:val="left"/>
        </w:tabs>
        <w:spacing w:before="0" w:after="0" w:line="284"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产品信息</w:t>
        <w:tab/>
      </w:r>
      <w:r>
        <w:rPr>
          <w:rFonts w:ascii="Arial Unicode MS" w:hAnsi="Arial Unicode MS" w:cs="Arial Unicode MS" w:eastAsia="Arial Unicode MS"/>
          <w:spacing w:val="0"/>
          <w:w w:val="100"/>
          <w:position w:val="0"/>
          <w:sz w:val="22"/>
          <w:szCs w:val="22"/>
        </w:rPr>
        <w:t>颜色</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FAJ034-浅灰色,</w:t>
      </w:r>
      <w:r>
        <w:rPr>
          <w:rFonts w:ascii="Arial Unicode MS" w:hAnsi="Arial Unicode MS" w:cs="Arial Unicode MS" w:eastAsia="Arial Unicode MS"/>
          <w:spacing w:val="-11"/>
          <w:w w:val="100"/>
          <w:sz w:val="16"/>
          <w:szCs w:val="16"/>
        </w:rPr>
        <w:t> </w:t>
      </w:r>
      <w:r>
        <w:rPr>
          <w:rFonts w:ascii="Arial Unicode MS" w:hAnsi="Arial Unicode MS" w:cs="Arial Unicode MS" w:eastAsia="Arial Unicode MS"/>
          <w:spacing w:val="0"/>
          <w:w w:val="100"/>
          <w:sz w:val="16"/>
          <w:szCs w:val="16"/>
        </w:rPr>
        <w:t>FAJ035-浅黄色</w:t>
      </w:r>
      <w:r>
        <w:rPr>
          <w:rFonts w:ascii="Arial Unicode MS" w:hAnsi="Arial Unicode MS" w:cs="Arial Unicode MS" w:eastAsia="Arial Unicode MS"/>
          <w:spacing w:val="-11"/>
          <w:w w:val="100"/>
          <w:sz w:val="16"/>
          <w:szCs w:val="16"/>
        </w:rPr>
        <w:t> </w:t>
      </w:r>
      <w:r>
        <w:rPr>
          <w:rFonts w:ascii="Arial Unicode MS" w:hAnsi="Arial Unicode MS" w:cs="Arial Unicode MS" w:eastAsia="Arial Unicode MS"/>
          <w:spacing w:val="0"/>
          <w:w w:val="100"/>
          <w:sz w:val="16"/>
          <w:szCs w:val="16"/>
        </w:rPr>
        <w:t>(参见“体系及配套性”一节)</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2738" w:space="1935"/>
            <w:col w:w="6087"/>
          </w:cols>
        </w:sectPr>
      </w:pPr>
    </w:p>
    <w:p>
      <w:pPr>
        <w:tabs>
          <w:tab w:pos="4660" w:val="left"/>
        </w:tabs>
        <w:spacing w:before="33"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无光</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FAA262</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57％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3398" w:space="1275"/>
            <w:col w:w="6087"/>
          </w:cols>
        </w:sectPr>
      </w:pPr>
    </w:p>
    <w:p>
      <w:pPr>
        <w:spacing w:before="6" w:after="0" w:line="160" w:lineRule="exact"/>
        <w:jc w:val="left"/>
        <w:rPr>
          <w:sz w:val="16"/>
          <w:szCs w:val="16"/>
        </w:rPr>
      </w:pPr>
      <w:r>
        <w:rPr>
          <w:sz w:val="16"/>
          <w:szCs w:val="16"/>
        </w:rPr>
      </w:r>
    </w:p>
    <w:p>
      <w:pPr>
        <w:tabs>
          <w:tab w:pos="4660" w:val="left"/>
        </w:tabs>
        <w:spacing w:before="0" w:after="0" w:line="28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甲组份：乙组份=4：1</w:t>
      </w:r>
      <w:r>
        <w:rPr>
          <w:rFonts w:ascii="Arial Unicode MS" w:hAnsi="Arial Unicode MS" w:cs="Arial Unicode MS" w:eastAsia="Arial Unicode MS"/>
          <w:spacing w:val="-16"/>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line="284"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spacing w:before="65" w:after="0" w:line="230"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施工方法</w:t>
      </w:r>
    </w:p>
    <w:p>
      <w:pPr>
        <w:spacing w:before="8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100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(175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24" w:after="0" w:line="370" w:lineRule="exact"/>
        <w:ind w:right="101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5.70</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刷涂,</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漆辊</w:t>
      </w:r>
    </w:p>
    <w:p>
      <w:pPr>
        <w:spacing w:line="370"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3392" w:space="1281"/>
            <w:col w:w="6087"/>
          </w:cols>
        </w:sectPr>
      </w:pPr>
    </w:p>
    <w:p>
      <w:pPr>
        <w:tabs>
          <w:tab w:pos="4660" w:val="left"/>
        </w:tabs>
        <w:spacing w:before="0" w:after="0" w:line="365"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闪点</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45°C;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乙组份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21°C;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混合后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38°C</w:t>
      </w:r>
      <w:r>
        <w:rPr>
          <w:rFonts w:ascii="Arial Unicode MS" w:hAnsi="Arial Unicode MS" w:cs="Arial Unicode MS" w:eastAsia="Arial Unicode MS"/>
          <w:spacing w:val="0"/>
          <w:w w:val="100"/>
          <w:position w:val="0"/>
          <w:sz w:val="16"/>
          <w:szCs w:val="16"/>
        </w:rPr>
      </w:r>
    </w:p>
    <w:p>
      <w:pPr>
        <w:tabs>
          <w:tab w:pos="4660" w:val="left"/>
        </w:tabs>
        <w:spacing w:before="0" w:after="0" w:line="371" w:lineRule="exact"/>
        <w:ind w:left="2291" w:right="-20"/>
        <w:jc w:val="left"/>
        <w:rPr>
          <w:rFonts w:ascii="Arial Unicode MS" w:hAnsi="Arial Unicode MS" w:cs="Arial Unicode MS" w:eastAsia="Arial Unicode MS"/>
          <w:sz w:val="16"/>
          <w:szCs w:val="16"/>
        </w:rPr>
      </w:pPr>
      <w:r>
        <w:rPr/>
        <w:pict>
          <v:group style="position:absolute;margin-left:145.570007pt;margin-top:31.397234pt;width:414.0pt;height:.1pt;mso-position-horizontal-relative:page;mso-position-vertical-relative:paragraph;z-index:-572" coordorigin="2911,628" coordsize="8280,2">
            <v:shape style="position:absolute;left:2911;top:628;width:8280;height:2" coordorigin="2911,628" coordsize="8280,0" path="m2911,628l11191,628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熟化时间</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不需要</w:t>
      </w:r>
      <w:r>
        <w:rPr>
          <w:rFonts w:ascii="Arial Unicode MS" w:hAnsi="Arial Unicode MS" w:cs="Arial Unicode MS" w:eastAsia="Arial Unicode MS"/>
          <w:spacing w:val="0"/>
          <w:w w:val="100"/>
          <w:position w:val="0"/>
          <w:sz w:val="16"/>
          <w:szCs w:val="16"/>
        </w:rPr>
      </w:r>
    </w:p>
    <w:p>
      <w:pPr>
        <w:spacing w:before="12" w:after="0" w:line="260" w:lineRule="exact"/>
        <w:jc w:val="left"/>
        <w:rPr>
          <w:sz w:val="26"/>
          <w:szCs w:val="26"/>
        </w:rPr>
      </w:pPr>
      <w:r>
        <w:rPr>
          <w:sz w:val="26"/>
          <w:szCs w:val="26"/>
        </w:rPr>
      </w:r>
    </w:p>
    <w:tbl>
      <w:tblPr>
        <w:tblW w:w="0" w:type="auto"/>
        <w:jc w:val="left"/>
        <w:tblInd w:w="2223" w:type="dxa"/>
        <w:tblLayout w:type="fixed"/>
        <w:tblCellMar>
          <w:top w:w="0" w:type="dxa"/>
          <w:left w:w="0" w:type="dxa"/>
          <w:bottom w:w="0" w:type="dxa"/>
          <w:right w:w="0" w:type="dxa"/>
        </w:tblCellMar>
        <w:tblLook w:val="01E0"/>
      </w:tblPr>
      <w:tblGrid/>
      <w:tr>
        <w:trPr>
          <w:trHeight w:val="453" w:hRule="exact"/>
        </w:trPr>
        <w:tc>
          <w:tcPr>
            <w:tcW w:w="2351" w:type="dxa"/>
            <w:tcBorders>
              <w:top w:val="nil" w:sz="6" w:space="0" w:color="auto"/>
              <w:left w:val="nil" w:sz="6" w:space="0" w:color="auto"/>
              <w:bottom w:val="nil" w:sz="6" w:space="0" w:color="auto"/>
              <w:right w:val="nil" w:sz="6" w:space="0" w:color="auto"/>
            </w:tcBorders>
          </w:tcPr>
          <w:p>
            <w:pPr>
              <w:spacing w:before="93"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干燥资料</w:t>
            </w:r>
          </w:p>
        </w:tc>
        <w:tc>
          <w:tcPr>
            <w:tcW w:w="1265" w:type="dxa"/>
            <w:tcBorders>
              <w:top w:val="single" w:sz="12" w:space="0" w:color="000000"/>
              <w:left w:val="nil" w:sz="6" w:space="0" w:color="auto"/>
              <w:bottom w:val="single" w:sz="4" w:space="0" w:color="000000"/>
              <w:right w:val="nil" w:sz="6" w:space="0" w:color="auto"/>
            </w:tcBorders>
          </w:tcPr>
          <w:p>
            <w:pPr>
              <w:spacing w:before="93" w:after="0" w:line="240" w:lineRule="auto"/>
              <w:ind w:left="40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72" w:right="55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5°C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1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25°C</w:t>
            </w:r>
            <w:r>
              <w:rPr>
                <w:rFonts w:ascii="Arial Unicode MS" w:hAnsi="Arial Unicode MS" w:cs="Arial Unicode MS" w:eastAsia="Arial Unicode MS"/>
                <w:spacing w:val="0"/>
                <w:w w:val="100"/>
                <w:sz w:val="14"/>
                <w:szCs w:val="14"/>
              </w:rPr>
            </w:r>
          </w:p>
        </w:tc>
        <w:tc>
          <w:tcPr>
            <w:tcW w:w="1435"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0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35°C</w:t>
            </w:r>
            <w:r>
              <w:rPr>
                <w:rFonts w:ascii="Arial Unicode MS" w:hAnsi="Arial Unicode MS" w:cs="Arial Unicode MS" w:eastAsia="Arial Unicode MS"/>
                <w:spacing w:val="0"/>
                <w:w w:val="100"/>
                <w:sz w:val="14"/>
                <w:szCs w:val="14"/>
              </w:rPr>
            </w:r>
          </w:p>
        </w:tc>
      </w:tr>
      <w:tr>
        <w:trPr>
          <w:trHeight w:val="826" w:hRule="exact"/>
        </w:trPr>
        <w:tc>
          <w:tcPr>
            <w:tcW w:w="2351" w:type="dxa"/>
            <w:tcBorders>
              <w:top w:val="nil" w:sz="6" w:space="0" w:color="auto"/>
              <w:left w:val="nil" w:sz="6" w:space="0" w:color="auto"/>
              <w:bottom w:val="nil" w:sz="6" w:space="0" w:color="auto"/>
              <w:right w:val="nil" w:sz="6" w:space="0" w:color="auto"/>
            </w:tcBorders>
          </w:tcPr>
          <w:p>
            <w:pPr>
              <w:spacing w:before="3" w:after="0" w:line="242" w:lineRule="auto"/>
              <w:ind w:left="50" w:right="1063"/>
              <w:jc w:val="both"/>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凝胶时间</w:t>
            </w:r>
          </w:p>
        </w:tc>
        <w:tc>
          <w:tcPr>
            <w:tcW w:w="1265" w:type="dxa"/>
            <w:tcBorders>
              <w:top w:val="single" w:sz="4" w:space="0" w:color="000000"/>
              <w:left w:val="nil" w:sz="6" w:space="0" w:color="auto"/>
              <w:bottom w:val="nil" w:sz="6" w:space="0" w:color="auto"/>
              <w:right w:val="nil" w:sz="6" w:space="0" w:color="auto"/>
            </w:tcBorders>
          </w:tcPr>
          <w:p>
            <w:pPr>
              <w:spacing w:before="3"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35" w:type="dxa"/>
            <w:tcBorders>
              <w:top w:val="single" w:sz="4" w:space="0" w:color="000000"/>
              <w:left w:val="nil" w:sz="6" w:space="0" w:color="auto"/>
              <w:bottom w:val="nil" w:sz="6" w:space="0" w:color="auto"/>
              <w:right w:val="nil" w:sz="6" w:space="0" w:color="auto"/>
            </w:tcBorders>
          </w:tcPr>
          <w:p>
            <w:pPr>
              <w:spacing w:before="3" w:after="0" w:line="240" w:lineRule="auto"/>
              <w:ind w:left="490"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2" w:right="42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tabs>
          <w:tab w:pos="6520" w:val="left"/>
        </w:tabs>
        <w:spacing w:before="55" w:after="0" w:line="374"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复涂数据－见“限定”一节</w:t>
        <w:tab/>
      </w:r>
      <w:r>
        <w:rPr>
          <w:rFonts w:ascii="Arial Unicode MS" w:hAnsi="Arial Unicode MS" w:cs="Arial Unicode MS" w:eastAsia="Arial Unicode MS"/>
          <w:spacing w:val="0"/>
          <w:w w:val="100"/>
          <w:position w:val="-1"/>
          <w:sz w:val="22"/>
          <w:szCs w:val="22"/>
        </w:rPr>
        <w:t>底材温度</w:t>
      </w:r>
      <w:r>
        <w:rPr>
          <w:rFonts w:ascii="Arial Unicode MS" w:hAnsi="Arial Unicode MS" w:cs="Arial Unicode MS" w:eastAsia="Arial Unicode MS"/>
          <w:spacing w:val="0"/>
          <w:w w:val="100"/>
          <w:position w:val="0"/>
          <w:sz w:val="22"/>
          <w:szCs w:val="22"/>
        </w:rPr>
      </w:r>
    </w:p>
    <w:p>
      <w:pPr>
        <w:tabs>
          <w:tab w:pos="6440" w:val="left"/>
          <w:tab w:pos="7840" w:val="left"/>
          <w:tab w:pos="9280" w:val="left"/>
        </w:tabs>
        <w:spacing w:before="0" w:after="0" w:line="133" w:lineRule="exact"/>
        <w:ind w:left="498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35°C</w:t>
      </w:r>
      <w:r>
        <w:rPr>
          <w:rFonts w:ascii="Arial Unicode MS" w:hAnsi="Arial Unicode MS" w:cs="Arial Unicode MS" w:eastAsia="Arial Unicode MS"/>
          <w:spacing w:val="0"/>
          <w:w w:val="100"/>
          <w:sz w:val="14"/>
          <w:szCs w:val="14"/>
        </w:rPr>
      </w:r>
    </w:p>
    <w:tbl>
      <w:tblPr>
        <w:tblW w:w="0" w:type="auto"/>
        <w:jc w:val="left"/>
        <w:tblInd w:w="2194" w:type="dxa"/>
        <w:tblLayout w:type="fixed"/>
        <w:tblCellMar>
          <w:top w:w="0" w:type="dxa"/>
          <w:left w:w="0" w:type="dxa"/>
          <w:bottom w:w="0" w:type="dxa"/>
          <w:right w:w="0" w:type="dxa"/>
        </w:tblCellMar>
        <w:tblLook w:val="01E0"/>
      </w:tblPr>
      <w:tblGrid/>
      <w:tr>
        <w:trPr>
          <w:trHeight w:val="456" w:hRule="exact"/>
        </w:trPr>
        <w:tc>
          <w:tcPr>
            <w:tcW w:w="1852" w:type="dxa"/>
            <w:tcBorders>
              <w:top w:val="nil" w:sz="6" w:space="0" w:color="auto"/>
              <w:left w:val="nil" w:sz="6" w:space="0" w:color="auto"/>
              <w:bottom w:val="nil" w:sz="6" w:space="0" w:color="auto"/>
              <w:right w:val="nil" w:sz="6" w:space="0" w:color="auto"/>
            </w:tcBorders>
          </w:tcPr>
          <w:p>
            <w:pPr>
              <w:spacing w:before="36"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复涂下列产品时</w:t>
            </w:r>
          </w:p>
        </w:tc>
        <w:tc>
          <w:tcPr>
            <w:tcW w:w="1106" w:type="dxa"/>
            <w:tcBorders>
              <w:top w:val="nil" w:sz="6" w:space="0" w:color="auto"/>
              <w:left w:val="nil" w:sz="6" w:space="0" w:color="auto"/>
              <w:bottom w:val="nil" w:sz="6" w:space="0" w:color="auto"/>
              <w:right w:val="nil" w:sz="6" w:space="0" w:color="auto"/>
            </w:tcBorders>
          </w:tcPr>
          <w:p>
            <w:pPr>
              <w:spacing w:before="7" w:after="0" w:line="240" w:lineRule="auto"/>
              <w:ind w:left="57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最小</w:t>
            </w:r>
          </w:p>
        </w:tc>
        <w:tc>
          <w:tcPr>
            <w:tcW w:w="650" w:type="dxa"/>
            <w:tcBorders>
              <w:top w:val="nil" w:sz="6" w:space="0" w:color="auto"/>
              <w:left w:val="nil" w:sz="6" w:space="0" w:color="auto"/>
              <w:bottom w:val="single" w:sz="4" w:space="0" w:color="000000"/>
              <w:right w:val="nil" w:sz="6" w:space="0" w:color="auto"/>
            </w:tcBorders>
          </w:tcPr>
          <w:p>
            <w:pPr>
              <w:spacing w:before="7" w:after="0" w:line="240" w:lineRule="auto"/>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最大</w:t>
            </w:r>
          </w:p>
        </w:tc>
        <w:tc>
          <w:tcPr>
            <w:tcW w:w="790" w:type="dxa"/>
            <w:tcBorders>
              <w:top w:val="nil" w:sz="6" w:space="0" w:color="auto"/>
              <w:left w:val="nil" w:sz="6" w:space="0" w:color="auto"/>
              <w:bottom w:val="single" w:sz="4" w:space="0" w:color="000000"/>
              <w:right w:val="nil" w:sz="6" w:space="0" w:color="auto"/>
            </w:tcBorders>
          </w:tcPr>
          <w:p>
            <w:pPr>
              <w:spacing w:before="7" w:after="0" w:line="240" w:lineRule="auto"/>
              <w:ind w:left="2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最小</w:t>
            </w:r>
          </w:p>
        </w:tc>
        <w:tc>
          <w:tcPr>
            <w:tcW w:w="678" w:type="dxa"/>
            <w:tcBorders>
              <w:top w:val="nil" w:sz="6" w:space="0" w:color="auto"/>
              <w:left w:val="nil" w:sz="6" w:space="0" w:color="auto"/>
              <w:bottom w:val="single" w:sz="4" w:space="0" w:color="000000"/>
              <w:right w:val="nil" w:sz="6" w:space="0" w:color="auto"/>
            </w:tcBorders>
          </w:tcPr>
          <w:p>
            <w:pPr>
              <w:spacing w:before="7" w:after="0" w:line="240" w:lineRule="auto"/>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最大</w:t>
            </w:r>
          </w:p>
        </w:tc>
        <w:tc>
          <w:tcPr>
            <w:tcW w:w="751" w:type="dxa"/>
            <w:tcBorders>
              <w:top w:val="nil" w:sz="6" w:space="0" w:color="auto"/>
              <w:left w:val="nil" w:sz="6" w:space="0" w:color="auto"/>
              <w:bottom w:val="single" w:sz="4" w:space="0" w:color="000000"/>
              <w:right w:val="nil" w:sz="6" w:space="0" w:color="auto"/>
            </w:tcBorders>
          </w:tcPr>
          <w:p>
            <w:pPr>
              <w:spacing w:before="7" w:after="0" w:line="240" w:lineRule="auto"/>
              <w:ind w:left="22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最小</w:t>
            </w:r>
          </w:p>
        </w:tc>
        <w:tc>
          <w:tcPr>
            <w:tcW w:w="680" w:type="dxa"/>
            <w:tcBorders>
              <w:top w:val="nil" w:sz="6" w:space="0" w:color="auto"/>
              <w:left w:val="nil" w:sz="6" w:space="0" w:color="auto"/>
              <w:bottom w:val="single" w:sz="4" w:space="0" w:color="000000"/>
              <w:right w:val="nil" w:sz="6" w:space="0" w:color="auto"/>
            </w:tcBorders>
          </w:tcPr>
          <w:p>
            <w:pPr>
              <w:spacing w:before="7" w:after="0" w:line="240" w:lineRule="auto"/>
              <w:ind w:left="19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最大</w:t>
            </w:r>
          </w:p>
        </w:tc>
        <w:tc>
          <w:tcPr>
            <w:tcW w:w="751" w:type="dxa"/>
            <w:tcBorders>
              <w:top w:val="nil" w:sz="6" w:space="0" w:color="auto"/>
              <w:left w:val="nil" w:sz="6" w:space="0" w:color="auto"/>
              <w:bottom w:val="single" w:sz="4" w:space="0" w:color="000000"/>
              <w:right w:val="nil" w:sz="6" w:space="0" w:color="auto"/>
            </w:tcBorders>
          </w:tcPr>
          <w:p>
            <w:pPr>
              <w:spacing w:before="7" w:after="0" w:line="240" w:lineRule="auto"/>
              <w:ind w:left="23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最小</w:t>
            </w:r>
          </w:p>
        </w:tc>
        <w:tc>
          <w:tcPr>
            <w:tcW w:w="612" w:type="dxa"/>
            <w:tcBorders>
              <w:top w:val="nil" w:sz="6" w:space="0" w:color="auto"/>
              <w:left w:val="nil" w:sz="6" w:space="0" w:color="auto"/>
              <w:bottom w:val="single" w:sz="4" w:space="0" w:color="000000"/>
              <w:right w:val="nil" w:sz="6" w:space="0" w:color="auto"/>
            </w:tcBorders>
          </w:tcPr>
          <w:p>
            <w:pPr>
              <w:spacing w:before="7" w:after="0" w:line="240" w:lineRule="auto"/>
              <w:ind w:left="20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最大</w:t>
            </w:r>
          </w:p>
        </w:tc>
      </w:tr>
      <w:tr>
        <w:trPr>
          <w:trHeight w:val="286" w:hRule="exact"/>
        </w:trPr>
        <w:tc>
          <w:tcPr>
            <w:tcW w:w="1852" w:type="dxa"/>
            <w:tcBorders>
              <w:top w:val="nil" w:sz="6" w:space="0" w:color="auto"/>
              <w:left w:val="nil" w:sz="6" w:space="0" w:color="auto"/>
              <w:bottom w:val="nil" w:sz="6" w:space="0" w:color="auto"/>
              <w:right w:val="nil" w:sz="6" w:space="0" w:color="auto"/>
            </w:tcBorders>
          </w:tcPr>
          <w:p>
            <w:pPr>
              <w:spacing w:before="1"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Intergard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263</w:t>
            </w:r>
          </w:p>
        </w:tc>
        <w:tc>
          <w:tcPr>
            <w:tcW w:w="1106" w:type="dxa"/>
            <w:tcBorders>
              <w:top w:val="nil" w:sz="6" w:space="0" w:color="auto"/>
              <w:left w:val="nil" w:sz="6" w:space="0" w:color="auto"/>
              <w:bottom w:val="nil" w:sz="6" w:space="0" w:color="auto"/>
              <w:right w:val="nil" w:sz="6" w:space="0" w:color="auto"/>
            </w:tcBorders>
          </w:tcPr>
          <w:p>
            <w:pPr>
              <w:spacing w:before="1" w:after="0" w:line="240" w:lineRule="auto"/>
              <w:ind w:left="70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650" w:type="dxa"/>
            <w:tcBorders>
              <w:top w:val="single" w:sz="4" w:space="0" w:color="000000"/>
              <w:left w:val="nil" w:sz="6" w:space="0" w:color="auto"/>
              <w:bottom w:val="nil" w:sz="6" w:space="0" w:color="auto"/>
              <w:right w:val="nil" w:sz="6" w:space="0" w:color="auto"/>
            </w:tcBorders>
          </w:tcPr>
          <w:p>
            <w:pPr>
              <w:spacing w:before="1" w:after="0" w:line="240" w:lineRule="auto"/>
              <w:ind w:left="292" w:right="23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790" w:type="dxa"/>
            <w:tcBorders>
              <w:top w:val="single" w:sz="4" w:space="0" w:color="000000"/>
              <w:left w:val="nil" w:sz="6" w:space="0" w:color="auto"/>
              <w:bottom w:val="nil" w:sz="6" w:space="0" w:color="auto"/>
              <w:right w:val="nil" w:sz="6" w:space="0" w:color="auto"/>
            </w:tcBorders>
          </w:tcPr>
          <w:p>
            <w:pPr>
              <w:spacing w:before="1" w:after="0" w:line="240" w:lineRule="auto"/>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single" w:sz="4" w:space="0" w:color="000000"/>
              <w:left w:val="nil" w:sz="6" w:space="0" w:color="auto"/>
              <w:bottom w:val="nil" w:sz="6" w:space="0" w:color="auto"/>
              <w:right w:val="nil" w:sz="6" w:space="0" w:color="auto"/>
            </w:tcBorders>
          </w:tcPr>
          <w:p>
            <w:pPr>
              <w:spacing w:before="1" w:after="0" w:line="240" w:lineRule="auto"/>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single" w:sz="4" w:space="0" w:color="000000"/>
              <w:left w:val="nil" w:sz="6" w:space="0" w:color="auto"/>
              <w:bottom w:val="nil" w:sz="6" w:space="0" w:color="auto"/>
              <w:right w:val="nil" w:sz="6" w:space="0" w:color="auto"/>
            </w:tcBorders>
          </w:tcPr>
          <w:p>
            <w:pPr>
              <w:spacing w:before="1" w:after="0" w:line="240" w:lineRule="auto"/>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single" w:sz="4" w:space="0" w:color="000000"/>
              <w:left w:val="nil" w:sz="6" w:space="0" w:color="auto"/>
              <w:bottom w:val="nil" w:sz="6" w:space="0" w:color="auto"/>
              <w:right w:val="nil" w:sz="6" w:space="0" w:color="auto"/>
            </w:tcBorders>
          </w:tcPr>
          <w:p>
            <w:pPr>
              <w:spacing w:before="1" w:after="0" w:line="240" w:lineRule="auto"/>
              <w:ind w:left="16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single" w:sz="4" w:space="0" w:color="000000"/>
              <w:left w:val="nil" w:sz="6" w:space="0" w:color="auto"/>
              <w:bottom w:val="nil" w:sz="6" w:space="0" w:color="auto"/>
              <w:right w:val="nil" w:sz="6" w:space="0" w:color="auto"/>
            </w:tcBorders>
          </w:tcPr>
          <w:p>
            <w:pPr>
              <w:spacing w:before="1" w:after="0" w:line="240" w:lineRule="auto"/>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12" w:type="dxa"/>
            <w:tcBorders>
              <w:top w:val="single" w:sz="4" w:space="0" w:color="000000"/>
              <w:left w:val="nil" w:sz="6" w:space="0" w:color="auto"/>
              <w:bottom w:val="nil" w:sz="6" w:space="0" w:color="auto"/>
              <w:right w:val="nil" w:sz="6" w:space="0" w:color="auto"/>
            </w:tcBorders>
          </w:tcPr>
          <w:p>
            <w:pPr>
              <w:spacing w:before="1" w:after="0" w:line="240" w:lineRule="auto"/>
              <w:ind w:left="17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852"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Intergard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740</w:t>
            </w:r>
          </w:p>
        </w:tc>
        <w:tc>
          <w:tcPr>
            <w:tcW w:w="1106" w:type="dxa"/>
            <w:tcBorders>
              <w:top w:val="nil" w:sz="6" w:space="0" w:color="auto"/>
              <w:left w:val="nil" w:sz="6" w:space="0" w:color="auto"/>
              <w:bottom w:val="nil" w:sz="6" w:space="0" w:color="auto"/>
              <w:right w:val="nil" w:sz="6" w:space="0" w:color="auto"/>
            </w:tcBorders>
          </w:tcPr>
          <w:p>
            <w:pPr>
              <w:spacing w:before="0" w:after="0" w:line="202" w:lineRule="exact"/>
              <w:ind w:left="70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292" w:right="23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16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12" w:type="dxa"/>
            <w:tcBorders>
              <w:top w:val="nil" w:sz="6" w:space="0" w:color="auto"/>
              <w:left w:val="nil" w:sz="6" w:space="0" w:color="auto"/>
              <w:bottom w:val="nil" w:sz="6" w:space="0" w:color="auto"/>
              <w:right w:val="nil" w:sz="6" w:space="0" w:color="auto"/>
            </w:tcBorders>
          </w:tcPr>
          <w:p>
            <w:pPr>
              <w:spacing w:before="0" w:after="0" w:line="202" w:lineRule="exact"/>
              <w:ind w:left="17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852"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Intersheen</w:t>
            </w:r>
            <w:r>
              <w:rPr>
                <w:rFonts w:ascii="Arial Unicode MS" w:hAnsi="Arial Unicode MS" w:cs="Arial Unicode MS" w:eastAsia="Arial Unicode MS"/>
                <w:spacing w:val="-7"/>
                <w:w w:val="100"/>
                <w:sz w:val="14"/>
                <w:szCs w:val="14"/>
              </w:rPr>
              <w:t> </w:t>
            </w:r>
            <w:r>
              <w:rPr>
                <w:rFonts w:ascii="Arial Unicode MS" w:hAnsi="Arial Unicode MS" w:cs="Arial Unicode MS" w:eastAsia="Arial Unicode MS"/>
                <w:spacing w:val="0"/>
                <w:w w:val="100"/>
                <w:sz w:val="14"/>
                <w:szCs w:val="14"/>
              </w:rPr>
              <w:t>579</w:t>
            </w:r>
          </w:p>
        </w:tc>
        <w:tc>
          <w:tcPr>
            <w:tcW w:w="1106" w:type="dxa"/>
            <w:tcBorders>
              <w:top w:val="nil" w:sz="6" w:space="0" w:color="auto"/>
              <w:left w:val="nil" w:sz="6" w:space="0" w:color="auto"/>
              <w:bottom w:val="nil" w:sz="6" w:space="0" w:color="auto"/>
              <w:right w:val="nil" w:sz="6" w:space="0" w:color="auto"/>
            </w:tcBorders>
          </w:tcPr>
          <w:p>
            <w:pPr>
              <w:spacing w:before="0" w:after="0" w:line="202" w:lineRule="exact"/>
              <w:ind w:left="4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20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12" w:type="dxa"/>
            <w:tcBorders>
              <w:top w:val="nil" w:sz="6" w:space="0" w:color="auto"/>
              <w:left w:val="nil" w:sz="6" w:space="0" w:color="auto"/>
              <w:bottom w:val="nil" w:sz="6" w:space="0" w:color="auto"/>
              <w:right w:val="nil" w:sz="6" w:space="0" w:color="auto"/>
            </w:tcBorders>
          </w:tcPr>
          <w:p>
            <w:pPr>
              <w:spacing w:before="0" w:after="0" w:line="202" w:lineRule="exact"/>
              <w:ind w:left="2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852"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Intersleek</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717</w:t>
            </w:r>
          </w:p>
        </w:tc>
        <w:tc>
          <w:tcPr>
            <w:tcW w:w="1106" w:type="dxa"/>
            <w:tcBorders>
              <w:top w:val="nil" w:sz="6" w:space="0" w:color="auto"/>
              <w:left w:val="nil" w:sz="6" w:space="0" w:color="auto"/>
              <w:bottom w:val="nil" w:sz="6" w:space="0" w:color="auto"/>
              <w:right w:val="nil" w:sz="6" w:space="0" w:color="auto"/>
            </w:tcBorders>
          </w:tcPr>
          <w:p>
            <w:pPr>
              <w:spacing w:before="0" w:after="0" w:line="202" w:lineRule="exact"/>
              <w:ind w:left="70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292" w:right="23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2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12" w:type="dxa"/>
            <w:tcBorders>
              <w:top w:val="nil" w:sz="6" w:space="0" w:color="auto"/>
              <w:left w:val="nil" w:sz="6" w:space="0" w:color="auto"/>
              <w:bottom w:val="nil" w:sz="6" w:space="0" w:color="auto"/>
              <w:right w:val="nil" w:sz="6" w:space="0" w:color="auto"/>
            </w:tcBorders>
          </w:tcPr>
          <w:p>
            <w:pPr>
              <w:spacing w:before="0" w:after="0" w:line="202" w:lineRule="exact"/>
              <w:ind w:left="23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r>
      <w:tr>
        <w:trPr>
          <w:trHeight w:val="245" w:hRule="exact"/>
        </w:trPr>
        <w:tc>
          <w:tcPr>
            <w:tcW w:w="1852"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Intersmooth</w:t>
            </w:r>
            <w:r>
              <w:rPr>
                <w:rFonts w:ascii="Arial Unicode MS" w:hAnsi="Arial Unicode MS" w:cs="Arial Unicode MS" w:eastAsia="Arial Unicode MS"/>
                <w:spacing w:val="-7"/>
                <w:w w:val="100"/>
                <w:sz w:val="14"/>
                <w:szCs w:val="14"/>
              </w:rPr>
              <w:t> </w:t>
            </w:r>
            <w:r>
              <w:rPr>
                <w:rFonts w:ascii="Arial Unicode MS" w:hAnsi="Arial Unicode MS" w:cs="Arial Unicode MS" w:eastAsia="Arial Unicode MS"/>
                <w:spacing w:val="0"/>
                <w:w w:val="100"/>
                <w:sz w:val="14"/>
                <w:szCs w:val="14"/>
              </w:rPr>
              <w:t>460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SPC</w:t>
            </w:r>
            <w:r>
              <w:rPr>
                <w:rFonts w:ascii="Arial Unicode MS" w:hAnsi="Arial Unicode MS" w:cs="Arial Unicode MS" w:eastAsia="Arial Unicode MS"/>
                <w:spacing w:val="0"/>
                <w:w w:val="100"/>
                <w:sz w:val="14"/>
                <w:szCs w:val="14"/>
              </w:rPr>
            </w:r>
          </w:p>
        </w:tc>
        <w:tc>
          <w:tcPr>
            <w:tcW w:w="1106" w:type="dxa"/>
            <w:tcBorders>
              <w:top w:val="nil" w:sz="6" w:space="0" w:color="auto"/>
              <w:left w:val="nil" w:sz="6" w:space="0" w:color="auto"/>
              <w:bottom w:val="nil" w:sz="6" w:space="0" w:color="auto"/>
              <w:right w:val="nil" w:sz="6" w:space="0" w:color="auto"/>
            </w:tcBorders>
          </w:tcPr>
          <w:p>
            <w:pPr>
              <w:spacing w:before="0" w:after="0" w:line="202" w:lineRule="exact"/>
              <w:ind w:left="4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20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12" w:type="dxa"/>
            <w:tcBorders>
              <w:top w:val="nil" w:sz="6" w:space="0" w:color="auto"/>
              <w:left w:val="nil" w:sz="6" w:space="0" w:color="auto"/>
              <w:bottom w:val="nil" w:sz="6" w:space="0" w:color="auto"/>
              <w:right w:val="nil" w:sz="6" w:space="0" w:color="auto"/>
            </w:tcBorders>
          </w:tcPr>
          <w:p>
            <w:pPr>
              <w:spacing w:before="0" w:after="0" w:line="202" w:lineRule="exact"/>
              <w:ind w:left="2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852"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Interswift</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655</w:t>
            </w:r>
          </w:p>
        </w:tc>
        <w:tc>
          <w:tcPr>
            <w:tcW w:w="1106" w:type="dxa"/>
            <w:tcBorders>
              <w:top w:val="nil" w:sz="6" w:space="0" w:color="auto"/>
              <w:left w:val="nil" w:sz="6" w:space="0" w:color="auto"/>
              <w:bottom w:val="nil" w:sz="6" w:space="0" w:color="auto"/>
              <w:right w:val="nil" w:sz="6" w:space="0" w:color="auto"/>
            </w:tcBorders>
          </w:tcPr>
          <w:p>
            <w:pPr>
              <w:spacing w:before="0" w:after="0" w:line="202" w:lineRule="exact"/>
              <w:ind w:left="4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20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12" w:type="dxa"/>
            <w:tcBorders>
              <w:top w:val="nil" w:sz="6" w:space="0" w:color="auto"/>
              <w:left w:val="nil" w:sz="6" w:space="0" w:color="auto"/>
              <w:bottom w:val="nil" w:sz="6" w:space="0" w:color="auto"/>
              <w:right w:val="nil" w:sz="6" w:space="0" w:color="auto"/>
            </w:tcBorders>
          </w:tcPr>
          <w:p>
            <w:pPr>
              <w:spacing w:before="0" w:after="0" w:line="202" w:lineRule="exact"/>
              <w:ind w:left="2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852"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Interthane</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990</w:t>
            </w:r>
          </w:p>
        </w:tc>
        <w:tc>
          <w:tcPr>
            <w:tcW w:w="1106" w:type="dxa"/>
            <w:tcBorders>
              <w:top w:val="nil" w:sz="6" w:space="0" w:color="auto"/>
              <w:left w:val="nil" w:sz="6" w:space="0" w:color="auto"/>
              <w:bottom w:val="nil" w:sz="6" w:space="0" w:color="auto"/>
              <w:right w:val="nil" w:sz="6" w:space="0" w:color="auto"/>
            </w:tcBorders>
          </w:tcPr>
          <w:p>
            <w:pPr>
              <w:spacing w:before="0" w:after="0" w:line="202" w:lineRule="exact"/>
              <w:ind w:left="4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1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20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12" w:type="dxa"/>
            <w:tcBorders>
              <w:top w:val="nil" w:sz="6" w:space="0" w:color="auto"/>
              <w:left w:val="nil" w:sz="6" w:space="0" w:color="auto"/>
              <w:bottom w:val="nil" w:sz="6" w:space="0" w:color="auto"/>
              <w:right w:val="nil" w:sz="6" w:space="0" w:color="auto"/>
            </w:tcBorders>
          </w:tcPr>
          <w:p>
            <w:pPr>
              <w:spacing w:before="0" w:after="0" w:line="202" w:lineRule="exact"/>
              <w:ind w:left="2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92" w:hRule="exact"/>
        </w:trPr>
        <w:tc>
          <w:tcPr>
            <w:tcW w:w="1852"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Intertuf</w:t>
            </w:r>
            <w:r>
              <w:rPr>
                <w:rFonts w:ascii="Arial Unicode MS" w:hAnsi="Arial Unicode MS" w:cs="Arial Unicode MS" w:eastAsia="Arial Unicode MS"/>
                <w:spacing w:val="-4"/>
                <w:w w:val="100"/>
                <w:sz w:val="14"/>
                <w:szCs w:val="14"/>
              </w:rPr>
              <w:t> </w:t>
            </w:r>
            <w:r>
              <w:rPr>
                <w:rFonts w:ascii="Arial Unicode MS" w:hAnsi="Arial Unicode MS" w:cs="Arial Unicode MS" w:eastAsia="Arial Unicode MS"/>
                <w:spacing w:val="0"/>
                <w:w w:val="100"/>
                <w:sz w:val="14"/>
                <w:szCs w:val="14"/>
              </w:rPr>
              <w:t>203</w:t>
            </w:r>
          </w:p>
        </w:tc>
        <w:tc>
          <w:tcPr>
            <w:tcW w:w="1106" w:type="dxa"/>
            <w:tcBorders>
              <w:top w:val="nil" w:sz="6" w:space="0" w:color="auto"/>
              <w:left w:val="nil" w:sz="6" w:space="0" w:color="auto"/>
              <w:bottom w:val="nil" w:sz="6" w:space="0" w:color="auto"/>
              <w:right w:val="nil" w:sz="6" w:space="0" w:color="auto"/>
            </w:tcBorders>
          </w:tcPr>
          <w:p>
            <w:pPr>
              <w:spacing w:before="0" w:after="0" w:line="202" w:lineRule="exact"/>
              <w:ind w:left="4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16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12" w:type="dxa"/>
            <w:tcBorders>
              <w:top w:val="nil" w:sz="6" w:space="0" w:color="auto"/>
              <w:left w:val="nil" w:sz="6" w:space="0" w:color="auto"/>
              <w:bottom w:val="nil" w:sz="6" w:space="0" w:color="auto"/>
              <w:right w:val="nil" w:sz="6" w:space="0" w:color="auto"/>
            </w:tcBorders>
          </w:tcPr>
          <w:p>
            <w:pPr>
              <w:spacing w:before="0" w:after="0" w:line="202" w:lineRule="exact"/>
              <w:ind w:left="17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bl>
    <w:p>
      <w:pPr>
        <w:spacing w:before="7" w:after="0" w:line="110" w:lineRule="exact"/>
        <w:jc w:val="left"/>
        <w:rPr>
          <w:sz w:val="11"/>
          <w:szCs w:val="11"/>
        </w:rPr>
      </w:pPr>
      <w:r>
        <w:rPr>
          <w:sz w:val="11"/>
          <w:szCs w:val="11"/>
        </w:rPr>
      </w:r>
    </w:p>
    <w:p>
      <w:pPr>
        <w:spacing w:before="13" w:after="0" w:line="185" w:lineRule="auto"/>
        <w:ind w:left="2685" w:right="708" w:hanging="450"/>
        <w:jc w:val="left"/>
        <w:rPr>
          <w:rFonts w:ascii="Arial Unicode MS" w:hAnsi="Arial Unicode MS" w:cs="Arial Unicode MS" w:eastAsia="Arial Unicode MS"/>
          <w:sz w:val="14"/>
          <w:szCs w:val="14"/>
        </w:rPr>
      </w:pPr>
      <w:r>
        <w:rPr/>
        <w:pict>
          <v:group style="position:absolute;margin-left:144.770004pt;margin-top:29.13113pt;width:411.75pt;height:.140pt;mso-position-horizontal-relative:page;mso-position-vertical-relative:paragraph;z-index:-573" coordorigin="2895,583" coordsize="8235,3">
            <v:shape style="position:absolute;left:2895;top:583;width:8235;height:3" coordorigin="2895,583" coordsize="8235,3" path="m2895,583l11130,585e" filled="f" stroked="t" strokeweight="1.5pt" strokecolor="#000000">
              <v:path arrowok="t"/>
            </v:shape>
            <w10:wrap type="none"/>
          </v:group>
        </w:pict>
      </w:r>
      <w:r>
        <w:rPr>
          <w:rFonts w:ascii="Arial Unicode MS" w:hAnsi="Arial Unicode MS" w:cs="Arial Unicode MS" w:eastAsia="Arial Unicode MS"/>
          <w:spacing w:val="0"/>
          <w:w w:val="100"/>
          <w:sz w:val="14"/>
          <w:szCs w:val="14"/>
        </w:rPr>
        <w:t>注解</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14"/>
          <w:w w:val="100"/>
          <w:sz w:val="14"/>
          <w:szCs w:val="14"/>
        </w:rPr>
        <w:t> </w:t>
      </w:r>
      <w:r>
        <w:rPr>
          <w:rFonts w:ascii="Arial Unicode MS" w:hAnsi="Arial Unicode MS" w:cs="Arial Unicode MS" w:eastAsia="Arial Unicode MS"/>
          <w:spacing w:val="0"/>
          <w:w w:val="100"/>
          <w:sz w:val="14"/>
          <w:szCs w:val="14"/>
        </w:rPr>
        <w:t>对于</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Intersmooth</w:t>
      </w:r>
      <w:r>
        <w:rPr>
          <w:rFonts w:ascii="Arial Unicode MS" w:hAnsi="Arial Unicode MS" w:cs="Arial Unicode MS" w:eastAsia="Arial Unicode MS"/>
          <w:spacing w:val="-7"/>
          <w:w w:val="100"/>
          <w:sz w:val="14"/>
          <w:szCs w:val="14"/>
        </w:rPr>
        <w:t> </w:t>
      </w:r>
      <w:r>
        <w:rPr>
          <w:rFonts w:ascii="Arial Unicode MS" w:hAnsi="Arial Unicode MS" w:cs="Arial Unicode MS" w:eastAsia="Arial Unicode MS"/>
          <w:spacing w:val="0"/>
          <w:w w:val="100"/>
          <w:sz w:val="14"/>
          <w:szCs w:val="14"/>
        </w:rPr>
        <w:t>360、365、465、465HS</w:t>
      </w:r>
      <w:r>
        <w:rPr>
          <w:rFonts w:ascii="Arial Unicode MS" w:hAnsi="Arial Unicode MS" w:cs="Arial Unicode MS" w:eastAsia="Arial Unicode MS"/>
          <w:spacing w:val="-15"/>
          <w:w w:val="100"/>
          <w:sz w:val="14"/>
          <w:szCs w:val="14"/>
        </w:rPr>
        <w:t> </w:t>
      </w:r>
      <w:r>
        <w:rPr>
          <w:rFonts w:ascii="Arial Unicode MS" w:hAnsi="Arial Unicode MS" w:cs="Arial Unicode MS" w:eastAsia="Arial Unicode MS"/>
          <w:spacing w:val="0"/>
          <w:w w:val="100"/>
          <w:sz w:val="14"/>
          <w:szCs w:val="14"/>
        </w:rPr>
        <w:t>SPC、Interspeed</w:t>
      </w:r>
      <w:r>
        <w:rPr>
          <w:rFonts w:ascii="Arial Unicode MS" w:hAnsi="Arial Unicode MS" w:cs="Arial Unicode MS" w:eastAsia="Arial Unicode MS"/>
          <w:spacing w:val="-11"/>
          <w:w w:val="100"/>
          <w:sz w:val="14"/>
          <w:szCs w:val="14"/>
        </w:rPr>
        <w:t> </w:t>
      </w:r>
      <w:r>
        <w:rPr>
          <w:rFonts w:ascii="Arial Unicode MS" w:hAnsi="Arial Unicode MS" w:cs="Arial Unicode MS" w:eastAsia="Arial Unicode MS"/>
          <w:spacing w:val="0"/>
          <w:w w:val="100"/>
          <w:sz w:val="14"/>
          <w:szCs w:val="14"/>
        </w:rPr>
        <w:t>340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和</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640，可遵循</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Intersmooth</w:t>
      </w:r>
      <w:r>
        <w:rPr>
          <w:rFonts w:ascii="Arial Unicode MS" w:hAnsi="Arial Unicode MS" w:cs="Arial Unicode MS" w:eastAsia="Arial Unicode MS"/>
          <w:spacing w:val="-7"/>
          <w:w w:val="100"/>
          <w:sz w:val="14"/>
          <w:szCs w:val="14"/>
        </w:rPr>
        <w:t> </w:t>
      </w:r>
      <w:r>
        <w:rPr>
          <w:rFonts w:ascii="Arial Unicode MS" w:hAnsi="Arial Unicode MS" w:cs="Arial Unicode MS" w:eastAsia="Arial Unicode MS"/>
          <w:spacing w:val="0"/>
          <w:w w:val="100"/>
          <w:sz w:val="14"/>
          <w:szCs w:val="14"/>
        </w:rPr>
        <w:t>460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SPC</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的复涂间隔。</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在韩国，Intersleek</w:t>
      </w:r>
      <w:r>
        <w:rPr>
          <w:rFonts w:ascii="Arial Unicode MS" w:hAnsi="Arial Unicode MS" w:cs="Arial Unicode MS" w:eastAsia="Arial Unicode MS"/>
          <w:spacing w:val="-12"/>
          <w:w w:val="100"/>
          <w:sz w:val="14"/>
          <w:szCs w:val="14"/>
        </w:rPr>
        <w:t> </w:t>
      </w:r>
      <w:r>
        <w:rPr>
          <w:rFonts w:ascii="Arial Unicode MS" w:hAnsi="Arial Unicode MS" w:cs="Arial Unicode MS" w:eastAsia="Arial Unicode MS"/>
          <w:spacing w:val="0"/>
          <w:w w:val="100"/>
          <w:sz w:val="14"/>
          <w:szCs w:val="14"/>
        </w:rPr>
        <w:t>717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仅可施工在</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Intergard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263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上。</w:t>
      </w:r>
    </w:p>
    <w:p>
      <w:pPr>
        <w:spacing w:before="7" w:after="0" w:line="280" w:lineRule="exact"/>
        <w:jc w:val="left"/>
        <w:rPr>
          <w:sz w:val="28"/>
          <w:szCs w:val="28"/>
        </w:rPr>
      </w:pPr>
      <w:r>
        <w:rPr>
          <w:sz w:val="28"/>
          <w:szCs w:val="28"/>
        </w:rPr>
      </w:r>
    </w:p>
    <w:p>
      <w:pPr>
        <w:spacing w:line="280" w:lineRule="exact" w:after="0"/>
        <w:jc w:val="left"/>
        <w:rPr>
          <w:sz w:val="28"/>
          <w:szCs w:val="28"/>
        </w:rPr>
        <w:sectPr>
          <w:type w:val="continuous"/>
          <w:pgSz w:w="11900" w:h="16820"/>
          <w:pgMar w:top="1040" w:bottom="1780" w:left="620" w:right="520"/>
        </w:sectPr>
      </w:pPr>
    </w:p>
    <w:p>
      <w:pPr>
        <w:tabs>
          <w:tab w:pos="23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37.849998pt;margin-top:2.501924pt;width:525.6pt;height:43.595pt;mso-position-horizontal-relative:page;mso-position-vertical-relative:paragraph;z-index:-571" coordorigin="757,50" coordsize="10512,872">
            <v:shape style="position:absolute;left:757;top:50;width:10512;height:872" coordorigin="757,50" coordsize="10512,872" path="m757,922l11269,922,11269,50,757,50,757,922xe" filled="t" fillcolor="#D2D2D2" stroked="f">
              <v:path arrowok="t"/>
              <v:fill/>
            </v:shape>
            <w10:wrap type="none"/>
          </v:group>
        </w:pict>
      </w:r>
      <w:r>
        <w:rPr>
          <w:rFonts w:ascii="Arial Unicode MS" w:hAnsi="Arial Unicode MS" w:cs="Arial Unicode MS" w:eastAsia="Arial Unicode MS"/>
          <w:spacing w:val="0"/>
          <w:w w:val="100"/>
          <w:sz w:val="22"/>
          <w:szCs w:val="22"/>
        </w:rPr>
        <w:t>法定数据</w:t>
        <w:tab/>
      </w:r>
      <w:r>
        <w:rPr>
          <w:rFonts w:ascii="Arial Unicode MS" w:hAnsi="Arial Unicode MS" w:cs="Arial Unicode MS" w:eastAsia="Arial Unicode MS"/>
          <w:spacing w:val="0"/>
          <w:w w:val="100"/>
          <w:sz w:val="22"/>
          <w:szCs w:val="22"/>
        </w:rPr>
        <w:t>挥发性有机化合物</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445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306</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4148" w:space="669"/>
            <w:col w:w="5943"/>
          </w:cols>
        </w:sectPr>
      </w:pPr>
    </w:p>
    <w:p>
      <w:pPr>
        <w:spacing w:before="15" w:after="0" w:line="185" w:lineRule="auto"/>
        <w:ind w:left="2388" w:right="47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20"/>
        </w:sectPr>
      </w:pPr>
    </w:p>
    <w:p>
      <w:pPr>
        <w:tabs>
          <w:tab w:pos="2280" w:val="left"/>
        </w:tabs>
        <w:spacing w:before="37" w:after="0" w:line="240" w:lineRule="auto"/>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证书</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当作为已核准的方案的一部分使用时，该产品拥有以下证书：</w:t>
      </w:r>
    </w:p>
    <w:p>
      <w:pPr>
        <w:spacing w:before="8" w:after="0" w:line="130" w:lineRule="exact"/>
        <w:jc w:val="left"/>
        <w:rPr>
          <w:sz w:val="13"/>
          <w:szCs w:val="13"/>
        </w:rPr>
      </w:pPr>
      <w:r>
        <w:rPr>
          <w:sz w:val="13"/>
          <w:szCs w:val="13"/>
        </w:rPr>
      </w:r>
    </w:p>
    <w:p>
      <w:pPr>
        <w:spacing w:before="0" w:after="0" w:line="185" w:lineRule="auto"/>
        <w:ind w:left="2297" w:right="315"/>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当按照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ASTM</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D5108-96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(修正后的)进行测试时,</w:t>
      </w:r>
      <w:r>
        <w:rPr>
          <w:rFonts w:ascii="Arial Unicode MS" w:hAnsi="Arial Unicode MS" w:cs="Arial Unicode MS" w:eastAsia="Arial Unicode MS"/>
          <w:spacing w:val="-16"/>
          <w:w w:val="100"/>
          <w:sz w:val="16"/>
          <w:szCs w:val="16"/>
        </w:rPr>
        <w:t> </w:t>
      </w:r>
      <w:r>
        <w:rPr>
          <w:rFonts w:ascii="Arial Unicode MS" w:hAnsi="Arial Unicode MS" w:cs="Arial Unicode MS" w:eastAsia="Arial Unicode MS"/>
          <w:spacing w:val="0"/>
          <w:w w:val="100"/>
          <w:sz w:val="16"/>
          <w:szCs w:val="16"/>
        </w:rPr>
        <w:t>100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微米干膜厚的Intergard</w:t>
      </w:r>
      <w:r>
        <w:rPr>
          <w:rFonts w:ascii="Arial Unicode MS" w:hAnsi="Arial Unicode MS" w:cs="Arial Unicode MS" w:eastAsia="Arial Unicode MS"/>
          <w:spacing w:val="-16"/>
          <w:w w:val="100"/>
          <w:sz w:val="16"/>
          <w:szCs w:val="16"/>
        </w:rPr>
        <w:t> </w:t>
      </w:r>
      <w:r>
        <w:rPr>
          <w:rFonts w:ascii="Arial Unicode MS" w:hAnsi="Arial Unicode MS" w:cs="Arial Unicode MS" w:eastAsia="Arial Unicode MS"/>
          <w:spacing w:val="0"/>
          <w:w w:val="100"/>
          <w:sz w:val="16"/>
          <w:szCs w:val="16"/>
        </w:rPr>
        <w:t>263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会对下面的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TBT</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防污漆的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TBT</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渗</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出形成屏蔽层,</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长期实验正在进行中。</w:t>
      </w:r>
    </w:p>
    <w:p>
      <w:pPr>
        <w:spacing w:before="1" w:after="0" w:line="160" w:lineRule="exact"/>
        <w:jc w:val="left"/>
        <w:rPr>
          <w:sz w:val="16"/>
          <w:szCs w:val="16"/>
        </w:rPr>
      </w:pPr>
      <w:r>
        <w:rPr>
          <w:sz w:val="16"/>
          <w:szCs w:val="16"/>
        </w:rPr>
      </w:r>
    </w:p>
    <w:p>
      <w:pPr>
        <w:spacing w:before="0" w:after="0" w:line="266" w:lineRule="exact"/>
        <w:ind w:left="2297" w:right="-20"/>
        <w:jc w:val="left"/>
        <w:rPr>
          <w:rFonts w:ascii="Arial Unicode MS" w:hAnsi="Arial Unicode MS" w:cs="Arial Unicode MS" w:eastAsia="Arial Unicode MS"/>
          <w:sz w:val="16"/>
          <w:szCs w:val="16"/>
        </w:rPr>
      </w:pPr>
      <w:r>
        <w:rPr/>
        <w:pict>
          <v:group style="position:absolute;margin-left:145.850006pt;margin-top:19.071436pt;width:409.5pt;height:.1pt;mso-position-horizontal-relative:page;mso-position-vertical-relative:paragraph;z-index:-570" coordorigin="2917,381" coordsize="8190,2">
            <v:shape style="position:absolute;left:2917;top:381;width:8190;height:2" coordorigin="2917,381" coordsize="8190,0" path="m2917,381l11107,381e" filled="f" stroked="t" strokeweight="1.5pt" strokecolor="#000000">
              <v:path arrowok="t"/>
            </v:shape>
            <w10:wrap type="none"/>
          </v:group>
        </w:pict>
      </w:r>
      <w:r>
        <w:rPr>
          <w:rFonts w:ascii="Arial Unicode MS" w:hAnsi="Arial Unicode MS" w:cs="Arial Unicode MS" w:eastAsia="Arial Unicode MS"/>
          <w:spacing w:val="0"/>
          <w:w w:val="100"/>
          <w:position w:val="-1"/>
          <w:sz w:val="16"/>
          <w:szCs w:val="16"/>
        </w:rPr>
        <w:t>有关详细情况，请向贵处的国际油漆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190" w:lineRule="exact"/>
        <w:jc w:val="left"/>
        <w:rPr>
          <w:sz w:val="19"/>
          <w:szCs w:val="19"/>
        </w:rPr>
      </w:pPr>
      <w:r>
        <w:rPr>
          <w:sz w:val="19"/>
          <w:szCs w:val="19"/>
        </w:rPr>
      </w:r>
    </w:p>
    <w:p>
      <w:pPr>
        <w:spacing w:line="190" w:lineRule="exact" w:after="0"/>
        <w:jc w:val="left"/>
        <w:rPr>
          <w:sz w:val="19"/>
          <w:szCs w:val="19"/>
        </w:rPr>
        <w:sectPr>
          <w:headerReference w:type="default" r:id="rId7"/>
          <w:pgSz w:w="11900" w:h="16820"/>
          <w:pgMar w:header="299" w:footer="1582" w:top="1040" w:bottom="1780" w:left="620" w:right="52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体系及配套性</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有关最适于待保护表面的漆系，请向贵处的国际油漆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在水上区域，建议将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FAJ035/FAA262</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淡黄色与特殊的不含铬酸铅的装饰面漆一起使用，以确保</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水上区域颜色均匀。请向国际油漆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咨询特殊建议。</w:t>
      </w:r>
    </w:p>
    <w:p>
      <w:pPr>
        <w:spacing w:before="0" w:after="0" w:line="430" w:lineRule="atLeast"/>
        <w:ind w:right="1448"/>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仅应施工在环氧防锈底漆上，所用底漆取决于船舶区域和施工位置。一般底漆包括：</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Intershield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300</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Intershield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803</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Intershield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343</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Intertuf</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262</w:t>
      </w:r>
    </w:p>
    <w:p>
      <w:pPr>
        <w:spacing w:before="0" w:after="0" w:line="203" w:lineRule="exact"/>
        <w:ind w:right="-20"/>
        <w:jc w:val="left"/>
        <w:rPr>
          <w:rFonts w:ascii="Arial Unicode MS" w:hAnsi="Arial Unicode MS" w:cs="Arial Unicode MS" w:eastAsia="Arial Unicode MS"/>
          <w:sz w:val="16"/>
          <w:szCs w:val="16"/>
        </w:rPr>
      </w:pPr>
      <w:r>
        <w:rPr/>
        <w:pict>
          <v:group style="position:absolute;margin-left:145.570007pt;margin-top:14.943718pt;width:414.0pt;height:.1pt;mso-position-horizontal-relative:page;mso-position-vertical-relative:paragraph;z-index:-569" coordorigin="2911,299" coordsize="8280,2">
            <v:shape style="position:absolute;left:2911;top:299;width:8280;height:2" coordorigin="2911,299" coordsize="8280,0" path="m2911,299l11191,299e" filled="f" stroked="t" strokeweight="1.5pt" strokecolor="#000000">
              <v:path arrowok="t"/>
            </v:shape>
            <w10:wrap type="none"/>
          </v:group>
        </w:pict>
      </w:r>
      <w:r>
        <w:rPr>
          <w:rFonts w:ascii="Arial Unicode MS" w:hAnsi="Arial Unicode MS" w:cs="Arial Unicode MS" w:eastAsia="Arial Unicode MS"/>
          <w:spacing w:val="0"/>
          <w:w w:val="100"/>
          <w:position w:val="0"/>
          <w:sz w:val="16"/>
          <w:szCs w:val="16"/>
        </w:rPr>
        <w:t>Intertuf</w:t>
      </w:r>
      <w:r>
        <w:rPr>
          <w:rFonts w:ascii="Arial Unicode MS" w:hAnsi="Arial Unicode MS" w:cs="Arial Unicode MS" w:eastAsia="Arial Unicode MS"/>
          <w:spacing w:val="-5"/>
          <w:w w:val="100"/>
          <w:position w:val="0"/>
          <w:sz w:val="16"/>
          <w:szCs w:val="16"/>
        </w:rPr>
        <w:t> </w:t>
      </w:r>
      <w:r>
        <w:rPr>
          <w:rFonts w:ascii="Arial Unicode MS" w:hAnsi="Arial Unicode MS" w:cs="Arial Unicode MS" w:eastAsia="Arial Unicode MS"/>
          <w:spacing w:val="0"/>
          <w:w w:val="100"/>
          <w:position w:val="0"/>
          <w:sz w:val="16"/>
          <w:szCs w:val="16"/>
        </w:rPr>
        <w:t>362</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458" w:space="877"/>
            <w:col w:w="8425"/>
          </w:cols>
        </w:sectPr>
      </w:pPr>
    </w:p>
    <w:p>
      <w:pPr>
        <w:spacing w:before="1" w:after="0" w:line="170" w:lineRule="exact"/>
        <w:jc w:val="left"/>
        <w:rPr>
          <w:sz w:val="17"/>
          <w:szCs w:val="17"/>
        </w:rPr>
      </w:pPr>
      <w:r>
        <w:rPr>
          <w:sz w:val="17"/>
          <w:szCs w:val="17"/>
        </w:rPr>
      </w:r>
    </w:p>
    <w:p>
      <w:pPr>
        <w:spacing w:line="170" w:lineRule="exact" w:after="0"/>
        <w:jc w:val="left"/>
        <w:rPr>
          <w:sz w:val="17"/>
          <w:szCs w:val="17"/>
        </w:rPr>
        <w:sectPr>
          <w:type w:val="continuous"/>
          <w:pgSz w:w="11900" w:h="16820"/>
          <w:pgMar w:top="1040" w:bottom="1780" w:left="620" w:right="52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表面处理</w:t>
      </w:r>
    </w:p>
    <w:p>
      <w:pPr>
        <w:spacing w:before="7" w:after="0" w:line="185" w:lineRule="auto"/>
        <w:ind w:right="3643"/>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99"/>
          <w:sz w:val="16"/>
          <w:szCs w:val="16"/>
        </w:rPr>
        <w:t>按照标准的“全球海洋规则(Worldwide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Specifications)”使用。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所有待涂表面应清洁、干燥且无污染物。</w:t>
      </w:r>
    </w:p>
    <w:p>
      <w:pPr>
        <w:spacing w:before="0" w:after="0" w:line="185" w:lineRule="auto"/>
        <w:ind w:right="22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采用高压淡水冲洗或一般淡水冲洗，以合适为准，并按照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溶剂清理标准除去所有油或油脂、可溶性污染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物以及其它外来物质。</w:t>
      </w:r>
    </w:p>
    <w:p>
      <w:pPr>
        <w:spacing w:before="18"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应始终施工在推荐的底漆涂层体系上。</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应按照国际油漆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提供的规则使用。</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底漆表面应干燥且无任何污染物(油、油脂、盐等)，并在规定的复涂间隔时间内采用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进行复涂(请参阅相</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关的底漆产品说明书)。</w:t>
      </w:r>
    </w:p>
    <w:p>
      <w:pPr>
        <w:spacing w:before="2" w:after="0" w:line="150" w:lineRule="exact"/>
        <w:jc w:val="left"/>
        <w:rPr>
          <w:sz w:val="15"/>
          <w:szCs w:val="15"/>
        </w:rPr>
      </w:pPr>
      <w:r>
        <w:rPr>
          <w:sz w:val="15"/>
          <w:szCs w:val="15"/>
        </w:rPr>
      </w:r>
    </w:p>
    <w:p>
      <w:pPr>
        <w:spacing w:before="0"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74"/>
            <w:col w:w="8468"/>
          </w:cols>
        </w:sectPr>
      </w:pPr>
    </w:p>
    <w:p>
      <w:pPr>
        <w:spacing w:before="39" w:after="0" w:line="274" w:lineRule="auto"/>
        <w:ind w:left="137" w:right="58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0" w:after="0" w:line="180" w:lineRule="exact"/>
        <w:jc w:val="left"/>
        <w:rPr>
          <w:sz w:val="18"/>
          <w:szCs w:val="18"/>
        </w:rPr>
      </w:pPr>
      <w:r>
        <w:rPr>
          <w:sz w:val="18"/>
          <w:szCs w:val="18"/>
        </w:rPr>
      </w:r>
    </w:p>
    <w:p>
      <w:pPr>
        <w:spacing w:before="0" w:after="0" w:line="200" w:lineRule="exact"/>
        <w:jc w:val="left"/>
        <w:rPr>
          <w:sz w:val="20"/>
          <w:szCs w:val="20"/>
        </w:rPr>
      </w:pPr>
      <w:r>
        <w:rPr>
          <w:sz w:val="20"/>
          <w:szCs w:val="20"/>
        </w:rPr>
      </w:r>
    </w:p>
    <w:p>
      <w:pPr>
        <w:spacing w:before="0" w:after="0" w:line="319" w:lineRule="auto"/>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传统型喷涂</w:t>
      </w:r>
    </w:p>
    <w:p>
      <w:pPr>
        <w:spacing w:before="0" w:after="0" w:line="268"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刷涂</w:t>
      </w:r>
      <w:r>
        <w:rPr>
          <w:rFonts w:ascii="Arial Unicode MS" w:hAnsi="Arial Unicode MS" w:cs="Arial Unicode MS" w:eastAsia="Arial Unicode MS"/>
          <w:spacing w:val="0"/>
          <w:w w:val="100"/>
          <w:position w:val="0"/>
          <w:sz w:val="22"/>
          <w:szCs w:val="22"/>
        </w:rPr>
      </w:r>
    </w:p>
    <w:p>
      <w:pPr>
        <w:spacing w:before="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漆辊</w:t>
      </w:r>
      <w:r>
        <w:rPr>
          <w:rFonts w:ascii="Arial Unicode MS" w:hAnsi="Arial Unicode MS" w:cs="Arial Unicode MS" w:eastAsia="Arial Unicode MS"/>
          <w:spacing w:val="0"/>
          <w:w w:val="100"/>
          <w:position w:val="0"/>
          <w:sz w:val="22"/>
          <w:szCs w:val="22"/>
        </w:rPr>
      </w:r>
    </w:p>
    <w:p>
      <w:pPr>
        <w:spacing w:before="3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清洁剂</w:t>
      </w:r>
      <w:r>
        <w:rPr>
          <w:rFonts w:ascii="Arial Unicode MS" w:hAnsi="Arial Unicode MS" w:cs="Arial Unicode MS" w:eastAsia="Arial Unicode MS"/>
          <w:spacing w:val="0"/>
          <w:w w:val="100"/>
          <w:position w:val="0"/>
          <w:sz w:val="22"/>
          <w:szCs w:val="22"/>
        </w:rPr>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68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涂料分装在两个容器中，作为一组供应。使用时应始终按供应的比例整组混合。</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(1)采用电动搅拌器搅拌基料(甲组份)。</w:t>
      </w:r>
    </w:p>
    <w:p>
      <w:pPr>
        <w:spacing w:before="0" w:after="0" w:line="22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混合全部固化剂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(乙组份)与基料</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(甲组份)，并采用电动搅拌器彻底搅拌。</w:t>
      </w:r>
    </w:p>
    <w:p>
      <w:pPr>
        <w:spacing w:before="1" w:after="0" w:line="150" w:lineRule="exact"/>
        <w:jc w:val="left"/>
        <w:rPr>
          <w:sz w:val="15"/>
          <w:szCs w:val="15"/>
        </w:rPr>
      </w:pPr>
      <w:r>
        <w:rPr>
          <w:sz w:val="15"/>
          <w:szCs w:val="15"/>
        </w:rPr>
      </w:r>
    </w:p>
    <w:p>
      <w:pPr>
        <w:spacing w:before="0" w:after="0" w:line="185" w:lineRule="auto"/>
        <w:ind w:left="15" w:right="306"/>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不推荐使用。仅在特殊情况下，使用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或国际牌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GTA415</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(以体积计，最高用量为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5%)。稀释不要超过当地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环保法规所允许的范围。</w:t>
      </w:r>
    </w:p>
    <w:p>
      <w:pPr>
        <w:spacing w:before="87" w:after="0" w:line="185" w:lineRule="auto"/>
        <w:ind w:right="362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喷嘴尺寸</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0.46-0.66</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毫米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(18-26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thou)</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(2500磅/平方英寸)</w:t>
      </w:r>
      <w:r>
        <w:rPr>
          <w:rFonts w:ascii="Arial Unicode MS" w:hAnsi="Arial Unicode MS" w:cs="Arial Unicode MS" w:eastAsia="Arial Unicode MS"/>
          <w:spacing w:val="0"/>
          <w:w w:val="100"/>
          <w:sz w:val="16"/>
          <w:szCs w:val="16"/>
        </w:rPr>
      </w:r>
    </w:p>
    <w:p>
      <w:pPr>
        <w:spacing w:before="18" w:after="0" w:line="316" w:lineRule="auto"/>
        <w:ind w:right="33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不推荐采用传统型喷涂方法进行施工。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辊涂施工仅建议用于小面积。可能需要多道涂层，以达到规定的膜厚。</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GTA220/GTA822</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或国际牌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GTA415</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8"/>
          <w:pgSz w:w="11900" w:h="16820"/>
          <w:pgMar w:header="299" w:footer="1582" w:top="1040" w:bottom="1780" w:left="620" w:right="520"/>
          <w:cols w:num="2" w:equalWidth="0">
            <w:col w:w="1238" w:space="1149"/>
            <w:col w:w="8373"/>
          </w:cols>
        </w:sectPr>
      </w:pPr>
    </w:p>
    <w:p>
      <w:pPr>
        <w:tabs>
          <w:tab w:pos="2380" w:val="left"/>
        </w:tabs>
        <w:spacing w:before="67" w:after="0" w:line="178" w:lineRule="auto"/>
        <w:ind w:left="2387" w:right="339"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GTA220/GTA822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或</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GTA415</w:t>
      </w:r>
      <w:r>
        <w:rPr>
          <w:rFonts w:ascii="Arial Unicode MS" w:hAnsi="Arial Unicode MS" w:cs="Arial Unicode MS" w:eastAsia="Arial Unicode MS"/>
          <w:spacing w:val="-6"/>
          <w:w w:val="100"/>
          <w:position w:val="0"/>
          <w:sz w:val="16"/>
          <w:szCs w:val="16"/>
        </w:rPr>
        <w:t> </w:t>
      </w:r>
      <w:r>
        <w:rPr>
          <w:rFonts w:ascii="Arial Unicode MS" w:hAnsi="Arial Unicode MS" w:cs="Arial Unicode MS" w:eastAsia="Arial Unicode MS"/>
          <w:spacing w:val="0"/>
          <w:w w:val="100"/>
          <w:position w:val="0"/>
          <w:sz w:val="16"/>
          <w:szCs w:val="16"/>
        </w:rPr>
        <w:t>彻底冲洗所有设</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备。一组油漆一经混合，不应再行密封，施工中如停顿时间过长，建议重新混合各组份，再开始施工。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所有设备在使用后应立即采用国际牌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GTA220/GTA822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或</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GTA415</w:t>
      </w:r>
      <w:r>
        <w:rPr>
          <w:rFonts w:ascii="Arial Unicode MS" w:hAnsi="Arial Unicode MS" w:cs="Arial Unicode MS" w:eastAsia="Arial Unicode MS"/>
          <w:spacing w:val="-6"/>
          <w:w w:val="100"/>
          <w:position w:val="0"/>
          <w:sz w:val="16"/>
          <w:szCs w:val="16"/>
        </w:rPr>
        <w:t> </w:t>
      </w:r>
      <w:r>
        <w:rPr>
          <w:rFonts w:ascii="Arial Unicode MS" w:hAnsi="Arial Unicode MS" w:cs="Arial Unicode MS" w:eastAsia="Arial Unicode MS"/>
          <w:spacing w:val="0"/>
          <w:w w:val="100"/>
          <w:position w:val="0"/>
          <w:sz w:val="16"/>
          <w:szCs w:val="16"/>
        </w:rPr>
        <w:t>进行清洗。在一天的工作过程中，定时</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冲洗喷涂设备是一种良好的工作习惯。清洗次数取决于喷涂数量、温度和使用时间(包括耽搁的时间)。不要超过混</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合后施工时间。</w:t>
      </w:r>
    </w:p>
    <w:p>
      <w:pPr>
        <w:spacing w:before="0" w:after="0" w:line="214" w:lineRule="exact"/>
        <w:ind w:left="238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所有剩余涂料和空容器应按照当地适宜的规章/法律进行处置。</w:t>
      </w:r>
      <w:r>
        <w:rPr>
          <w:rFonts w:ascii="Arial Unicode MS" w:hAnsi="Arial Unicode MS" w:cs="Arial Unicode MS" w:eastAsia="Arial Unicode MS"/>
          <w:spacing w:val="0"/>
          <w:w w:val="100"/>
          <w:position w:val="0"/>
          <w:sz w:val="16"/>
          <w:szCs w:val="16"/>
        </w:rPr>
      </w:r>
    </w:p>
    <w:p>
      <w:pPr>
        <w:spacing w:before="8" w:after="0" w:line="240" w:lineRule="exact"/>
        <w:jc w:val="left"/>
        <w:rPr>
          <w:sz w:val="24"/>
          <w:szCs w:val="24"/>
        </w:rPr>
      </w:pPr>
      <w:r>
        <w:rPr>
          <w:sz w:val="24"/>
          <w:szCs w:val="24"/>
        </w:rPr>
      </w:r>
    </w:p>
    <w:p>
      <w:pPr>
        <w:tabs>
          <w:tab w:pos="2360" w:val="left"/>
        </w:tabs>
        <w:spacing w:before="8" w:after="0" w:line="158" w:lineRule="auto"/>
        <w:ind w:left="2372" w:right="326" w:hanging="2235"/>
        <w:jc w:val="left"/>
        <w:rPr>
          <w:rFonts w:ascii="Arial Unicode MS" w:hAnsi="Arial Unicode MS" w:cs="Arial Unicode MS" w:eastAsia="Arial Unicode MS"/>
          <w:sz w:val="16"/>
          <w:szCs w:val="16"/>
        </w:rPr>
      </w:pPr>
      <w:r>
        <w:rPr/>
        <w:pict>
          <v:group style="position:absolute;margin-left:149.600006pt;margin-top:27.471294pt;width:405.75pt;height:.1pt;mso-position-horizontal-relative:page;mso-position-vertical-relative:paragraph;z-index:-568"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9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40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spacing w:before="4" w:after="0" w:line="110" w:lineRule="exact"/>
        <w:jc w:val="left"/>
        <w:rPr>
          <w:sz w:val="11"/>
          <w:szCs w:val="11"/>
        </w:rPr>
      </w:pPr>
      <w:r>
        <w:rPr>
          <w:sz w:val="11"/>
          <w:szCs w:val="11"/>
        </w:rPr>
      </w:r>
    </w:p>
    <w:p>
      <w:pPr>
        <w:tabs>
          <w:tab w:pos="2280" w:val="left"/>
        </w:tabs>
        <w:spacing w:before="0" w:after="0" w:line="172" w:lineRule="auto"/>
        <w:ind w:left="2297" w:right="269" w:hanging="2160"/>
        <w:jc w:val="both"/>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限制</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局部修补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Intertuf</w:t>
      </w:r>
      <w:r>
        <w:rPr>
          <w:rFonts w:ascii="Arial Unicode MS" w:hAnsi="Arial Unicode MS" w:cs="Arial Unicode MS" w:eastAsia="Arial Unicode MS"/>
          <w:spacing w:val="-5"/>
          <w:w w:val="100"/>
          <w:position w:val="0"/>
          <w:sz w:val="16"/>
          <w:szCs w:val="16"/>
        </w:rPr>
        <w:t> </w:t>
      </w:r>
      <w:r>
        <w:rPr>
          <w:rFonts w:ascii="Arial Unicode MS" w:hAnsi="Arial Unicode MS" w:cs="Arial Unicode MS" w:eastAsia="Arial Unicode MS"/>
          <w:spacing w:val="0"/>
          <w:w w:val="100"/>
          <w:position w:val="0"/>
          <w:sz w:val="16"/>
          <w:szCs w:val="16"/>
        </w:rPr>
        <w:t>262/Intergard</w:t>
      </w:r>
      <w:r>
        <w:rPr>
          <w:rFonts w:ascii="Arial Unicode MS" w:hAnsi="Arial Unicode MS" w:cs="Arial Unicode MS" w:eastAsia="Arial Unicode MS"/>
          <w:spacing w:val="-10"/>
          <w:w w:val="100"/>
          <w:position w:val="0"/>
          <w:sz w:val="16"/>
          <w:szCs w:val="16"/>
        </w:rPr>
        <w:t> </w:t>
      </w:r>
      <w:r>
        <w:rPr>
          <w:rFonts w:ascii="Arial Unicode MS" w:hAnsi="Arial Unicode MS" w:cs="Arial Unicode MS" w:eastAsia="Arial Unicode MS"/>
          <w:spacing w:val="0"/>
          <w:w w:val="100"/>
          <w:position w:val="0"/>
          <w:sz w:val="16"/>
          <w:szCs w:val="16"/>
        </w:rPr>
        <w:t>263可用于局部修补现有环氧、煤焦油环氧、氯化橡胶、乙烯焦油和无焦油乙烯涂</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层。砂薄搭接区域必须保持在最小范围。请向国际油漆</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(International</w:t>
      </w:r>
      <w:r>
        <w:rPr>
          <w:rFonts w:ascii="Arial Unicode MS" w:hAnsi="Arial Unicode MS" w:cs="Arial Unicode MS" w:eastAsia="Arial Unicode MS"/>
          <w:spacing w:val="-9"/>
          <w:w w:val="100"/>
          <w:position w:val="0"/>
          <w:sz w:val="16"/>
          <w:szCs w:val="16"/>
        </w:rPr>
        <w:t> </w:t>
      </w:r>
      <w:r>
        <w:rPr>
          <w:rFonts w:ascii="Arial Unicode MS" w:hAnsi="Arial Unicode MS" w:cs="Arial Unicode MS" w:eastAsia="Arial Unicode MS"/>
          <w:spacing w:val="0"/>
          <w:w w:val="100"/>
          <w:position w:val="0"/>
          <w:sz w:val="16"/>
          <w:szCs w:val="16"/>
        </w:rPr>
        <w:t>Paint)</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咨询。Intertuf</w:t>
      </w:r>
      <w:r>
        <w:rPr>
          <w:rFonts w:ascii="Arial Unicode MS" w:hAnsi="Arial Unicode MS" w:cs="Arial Unicode MS" w:eastAsia="Arial Unicode MS"/>
          <w:spacing w:val="-10"/>
          <w:w w:val="100"/>
          <w:position w:val="0"/>
          <w:sz w:val="16"/>
          <w:szCs w:val="16"/>
        </w:rPr>
        <w:t> </w:t>
      </w:r>
      <w:r>
        <w:rPr>
          <w:rFonts w:ascii="Arial Unicode MS" w:hAnsi="Arial Unicode MS" w:cs="Arial Unicode MS" w:eastAsia="Arial Unicode MS"/>
          <w:spacing w:val="0"/>
          <w:w w:val="100"/>
          <w:position w:val="0"/>
          <w:sz w:val="16"/>
          <w:szCs w:val="16"/>
        </w:rPr>
        <w:t>262/Intergard</w:t>
      </w:r>
      <w:r>
        <w:rPr>
          <w:rFonts w:ascii="Arial Unicode MS" w:hAnsi="Arial Unicode MS" w:cs="Arial Unicode MS" w:eastAsia="Arial Unicode MS"/>
          <w:spacing w:val="-10"/>
          <w:w w:val="100"/>
          <w:position w:val="0"/>
          <w:sz w:val="16"/>
          <w:szCs w:val="16"/>
        </w:rPr>
        <w:t> </w:t>
      </w:r>
      <w:r>
        <w:rPr>
          <w:rFonts w:ascii="Arial Unicode MS" w:hAnsi="Arial Unicode MS" w:cs="Arial Unicode MS" w:eastAsia="Arial Unicode MS"/>
          <w:spacing w:val="0"/>
          <w:w w:val="100"/>
          <w:position w:val="0"/>
          <w:sz w:val="16"/>
          <w:szCs w:val="16"/>
        </w:rPr>
        <w:t>263</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不适于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修补沥青涂料。</w:t>
      </w:r>
    </w:p>
    <w:p>
      <w:pPr>
        <w:spacing w:before="2" w:after="0" w:line="185" w:lineRule="auto"/>
        <w:ind w:left="2297" w:right="18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升级－Intertuf</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262/Intertuf</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263可用于升级现有环氧、煤焦油环氧和氯化橡胶涂料。请向国际油漆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咨询。</w:t>
      </w:r>
    </w:p>
    <w:p>
      <w:pPr>
        <w:spacing w:before="0" w:after="0" w:line="22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不适于升级的底材：-</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乙烯焦油、无焦油乙烯、沥青。</w:t>
      </w:r>
    </w:p>
    <w:p>
      <w:pPr>
        <w:spacing w:before="0" w:after="0" w:line="200" w:lineRule="exact"/>
        <w:jc w:val="left"/>
        <w:rPr>
          <w:sz w:val="20"/>
          <w:szCs w:val="20"/>
        </w:rPr>
      </w:pPr>
      <w:r>
        <w:rPr>
          <w:sz w:val="20"/>
          <w:szCs w:val="20"/>
        </w:rPr>
      </w:r>
    </w:p>
    <w:p>
      <w:pPr>
        <w:spacing w:before="19" w:after="0" w:line="200" w:lineRule="exact"/>
        <w:jc w:val="left"/>
        <w:rPr>
          <w:sz w:val="20"/>
          <w:szCs w:val="20"/>
        </w:rPr>
      </w:pPr>
      <w:r>
        <w:rPr>
          <w:sz w:val="20"/>
          <w:szCs w:val="20"/>
        </w:rPr>
      </w:r>
    </w:p>
    <w:p>
      <w:pPr>
        <w:spacing w:before="0" w:after="0" w:line="185" w:lineRule="auto"/>
        <w:ind w:left="2297" w:right="24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代表咨询。</w:t>
      </w:r>
    </w:p>
    <w:p>
      <w:pPr>
        <w:spacing w:before="0" w:after="0" w:line="185" w:lineRule="auto"/>
        <w:ind w:left="2297" w:right="241"/>
        <w:jc w:val="left"/>
        <w:rPr>
          <w:rFonts w:ascii="Arial Unicode MS" w:hAnsi="Arial Unicode MS" w:cs="Arial Unicode MS" w:eastAsia="Arial Unicode MS"/>
          <w:sz w:val="16"/>
          <w:szCs w:val="16"/>
        </w:rPr>
      </w:pPr>
      <w:r>
        <w:rPr/>
        <w:pict>
          <v:group style="position:absolute;margin-left:145.850006pt;margin-top:80.733879pt;width:417.6pt;height:.1pt;mso-position-horizontal-relative:page;mso-position-vertical-relative:paragraph;z-index:-567" coordorigin="2917,1615" coordsize="8352,2">
            <v:shape style="position:absolute;left:2917;top:1615;width:8352;height:2" coordorigin="2917,1615" coordsize="8352,0" path="m2917,1615l11269,1615e" filled="f" stroked="t" strokeweight="1.5pt" strokecolor="#000000">
              <v:path arrowok="t"/>
            </v:shape>
            <w10:wrap type="none"/>
          </v:group>
        </w:pict>
      </w:r>
      <w:r>
        <w:rPr>
          <w:rFonts w:ascii="Arial Unicode MS" w:hAnsi="Arial Unicode MS" w:cs="Arial Unicode MS" w:eastAsia="Arial Unicode MS"/>
          <w:spacing w:val="0"/>
          <w:w w:val="100"/>
          <w:sz w:val="16"/>
          <w:szCs w:val="16"/>
        </w:rPr>
        <w:t>如在韩国施工(包括</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Interthane</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989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的无限期涂装间隔)，请向贵处的国际油漆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在好天气下施工。待涂表面的温度必须至少高于露点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3°C。除非另有特殊指令，为达到最佳施工性能，在混合和施工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21-27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°C之间。未混合的涂料（在盖紧的容器中）应按该产品说明书“贮存”一节中规定的方式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进行保护性贮存。此处提及的技术和施工数据之目的，是为制定一个涂料施工程序的总则。测试性能结果来自于受控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的实验室环境，国际油漆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(InternationalPaint)</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中所得到的结果。由于施工应用,</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环境和设计参数变化很大，所以在进行涂料选择、性能证实或使用时应十分小心谨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慎。</w:t>
      </w:r>
    </w:p>
    <w:p>
      <w:pPr>
        <w:spacing w:before="3" w:after="0" w:line="280" w:lineRule="exact"/>
        <w:jc w:val="left"/>
        <w:rPr>
          <w:sz w:val="28"/>
          <w:szCs w:val="28"/>
        </w:rPr>
      </w:pPr>
      <w:r>
        <w:rPr>
          <w:sz w:val="28"/>
          <w:szCs w:val="28"/>
        </w:rPr>
      </w:r>
    </w:p>
    <w:p>
      <w:pPr>
        <w:spacing w:before="0" w:after="0" w:line="280" w:lineRule="exact"/>
        <w:ind w:left="137" w:right="-20"/>
        <w:jc w:val="left"/>
        <w:rPr>
          <w:rFonts w:ascii="Arial Unicode MS" w:hAnsi="Arial Unicode MS" w:cs="Arial Unicode MS" w:eastAsia="Arial Unicode MS"/>
          <w:sz w:val="22"/>
          <w:szCs w:val="22"/>
        </w:rPr>
      </w:pPr>
      <w:r>
        <w:rPr/>
        <w:pict>
          <v:group style="position:absolute;margin-left:37.849998pt;margin-top:2.319346pt;width:522.75pt;height:64.1217pt;mso-position-horizontal-relative:page;mso-position-vertical-relative:paragraph;z-index:-566" coordorigin="757,46" coordsize="10455,1282">
            <v:shape style="position:absolute;left:757;top:46;width:10455;height:1282" coordorigin="757,46" coordsize="10455,1282" path="m757,1329l11212,1329,11212,46,757,46,757,1329xe" filled="t" fillcolor="#D2D2D2" stroked="f">
              <v:path arrowok="t"/>
              <v:fill/>
            </v:shape>
            <w10:wrap type="none"/>
          </v:group>
        </w:pict>
      </w:r>
      <w:r>
        <w:rPr/>
        <w:pict>
          <v:shape style="position:absolute;margin-left:166.5pt;margin-top:2.319346pt;width:394.1pt;height:47.171616pt;mso-position-horizontal-relative:page;mso-position-vertical-relative:paragraph;z-index:-562" type="#_x0000_t202" filled="f" stroked="f">
            <v:textbox inset="0,0,0,0">
              <w:txbxContent>
                <w:tbl>
                  <w:tblPr>
                    <w:tblW w:w="0" w:type="auto"/>
                    <w:jc w:val="left"/>
                    <w:tblLayout w:type="fixed"/>
                    <w:tblCellMar>
                      <w:top w:w="0" w:type="dxa"/>
                      <w:left w:w="0" w:type="dxa"/>
                      <w:bottom w:w="0" w:type="dxa"/>
                      <w:right w:w="0" w:type="dxa"/>
                    </w:tblCellMar>
                    <w:tblLook w:val="01E0"/>
                  </w:tblPr>
                  <w:tblGrid/>
                  <w:tr>
                    <w:trPr>
                      <w:trHeight w:val="169"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包装规格</w:t>
                        </w:r>
                        <w:r>
                          <w:rPr>
                            <w:rFonts w:ascii="Arial Unicode MS" w:hAnsi="Arial Unicode MS" w:cs="Arial Unicode MS" w:eastAsia="Arial Unicode MS"/>
                            <w:spacing w:val="0"/>
                            <w:w w:val="100"/>
                            <w:position w:val="0"/>
                            <w:sz w:val="14"/>
                            <w:szCs w:val="14"/>
                          </w:rPr>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73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甲组份</w:t>
                        </w:r>
                        <w:r>
                          <w:rPr>
                            <w:rFonts w:ascii="Arial Unicode MS" w:hAnsi="Arial Unicode MS" w:cs="Arial Unicode MS" w:eastAsia="Arial Unicode MS"/>
                            <w:spacing w:val="0"/>
                            <w:w w:val="100"/>
                            <w:position w:val="0"/>
                            <w:sz w:val="14"/>
                            <w:szCs w:val="14"/>
                          </w:rPr>
                        </w:r>
                      </w:p>
                    </w:tc>
                    <w:tc>
                      <w:tcPr>
                        <w:tcW w:w="898" w:type="dxa"/>
                        <w:tcBorders>
                          <w:top w:val="nil" w:sz="6" w:space="0" w:color="auto"/>
                          <w:left w:val="nil" w:sz="6" w:space="0" w:color="auto"/>
                          <w:bottom w:val="nil" w:sz="6" w:space="0" w:color="auto"/>
                          <w:right w:val="nil" w:sz="6" w:space="0" w:color="auto"/>
                        </w:tcBorders>
                        <w:shd w:val="clear" w:color="auto" w:fill="D2D2D2"/>
                      </w:tcPr>
                      <w:p>
                        <w:pP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66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乙组份</w:t>
                        </w:r>
                        <w:r>
                          <w:rPr>
                            <w:rFonts w:ascii="Arial Unicode MS" w:hAnsi="Arial Unicode MS" w:cs="Arial Unicode MS" w:eastAsia="Arial Unicode MS"/>
                            <w:spacing w:val="0"/>
                            <w:w w:val="100"/>
                            <w:position w:val="0"/>
                            <w:sz w:val="14"/>
                            <w:szCs w:val="14"/>
                          </w:rPr>
                        </w:r>
                      </w:p>
                    </w:tc>
                    <w:tc>
                      <w:tcPr>
                        <w:tcW w:w="3700" w:type="dxa"/>
                        <w:tcBorders>
                          <w:top w:val="nil" w:sz="6" w:space="0" w:color="auto"/>
                          <w:left w:val="nil" w:sz="6" w:space="0" w:color="auto"/>
                          <w:bottom w:val="nil" w:sz="6" w:space="0" w:color="auto"/>
                          <w:right w:val="nil" w:sz="6" w:space="0" w:color="auto"/>
                        </w:tcBorders>
                        <w:shd w:val="clear" w:color="auto" w:fill="D2D2D2"/>
                      </w:tcPr>
                      <w:p>
                        <w:pPr/>
                      </w:p>
                    </w:tc>
                  </w:tr>
                  <w:tr>
                    <w:trPr>
                      <w:trHeight w:val="225" w:hRule="exact"/>
                    </w:trPr>
                    <w:tc>
                      <w:tcPr>
                        <w:tcW w:w="959" w:type="dxa"/>
                        <w:tcBorders>
                          <w:top w:val="nil" w:sz="6" w:space="0" w:color="auto"/>
                          <w:left w:val="nil" w:sz="6" w:space="0" w:color="auto"/>
                          <w:bottom w:val="nil" w:sz="6" w:space="0" w:color="auto"/>
                          <w:right w:val="nil" w:sz="6" w:space="0" w:color="auto"/>
                        </w:tcBorders>
                        <w:shd w:val="clear" w:color="auto" w:fill="D2D2D2"/>
                      </w:tcPr>
                      <w:p>
                        <w:pP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406" w:right="42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359" w:right="41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r>
                  <w:tr>
                    <w:trPr>
                      <w:trHeight w:val="550"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4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8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16</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6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2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1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5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r>
                </w:tbl>
                <w:p>
                  <w:pPr>
                    <w:spacing w:before="0" w:after="0" w:line="240" w:lineRule="auto"/>
                    <w:jc w:val="left"/>
                  </w:pPr>
                </w:p>
              </w:txbxContent>
            </v:textbox>
            <w10:wrap type="none"/>
          </v:shape>
        </w:pict>
      </w:r>
      <w:r>
        <w:rPr>
          <w:rFonts w:ascii="Arial Unicode MS" w:hAnsi="Arial Unicode MS" w:cs="Arial Unicode MS" w:eastAsia="Arial Unicode MS"/>
          <w:spacing w:val="0"/>
          <w:w w:val="100"/>
          <w:position w:val="0"/>
          <w:sz w:val="22"/>
          <w:szCs w:val="22"/>
        </w:rPr>
        <w:t>包装规格</w:t>
      </w:r>
      <w:r>
        <w:rPr>
          <w:rFonts w:ascii="Arial Unicode MS" w:hAnsi="Arial Unicode MS" w:cs="Arial Unicode MS" w:eastAsia="Arial Unicode MS"/>
          <w:spacing w:val="0"/>
          <w:w w:val="100"/>
          <w:position w:val="0"/>
          <w:sz w:val="22"/>
          <w:szCs w:val="22"/>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5" w:after="0" w:line="200" w:lineRule="exact"/>
        <w:jc w:val="left"/>
        <w:rPr>
          <w:sz w:val="20"/>
          <w:szCs w:val="20"/>
        </w:rPr>
      </w:pPr>
      <w:r>
        <w:rPr>
          <w:sz w:val="20"/>
          <w:szCs w:val="20"/>
        </w:rPr>
      </w:r>
    </w:p>
    <w:p>
      <w:pPr>
        <w:spacing w:before="0" w:after="0" w:line="215"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99"/>
          <w:position w:val="0"/>
          <w:sz w:val="14"/>
          <w:szCs w:val="14"/>
        </w:rPr>
        <w:t>有关其它包装尺寸，请向国际油漆</w:t>
      </w:r>
      <w:r>
        <w:rPr>
          <w:rFonts w:ascii="Arial Unicode MS" w:hAnsi="Arial Unicode MS" w:cs="Arial Unicode MS" w:eastAsia="Arial Unicode MS"/>
          <w:spacing w:val="0"/>
          <w:w w:val="99"/>
          <w:position w:val="0"/>
          <w:sz w:val="14"/>
          <w:szCs w:val="14"/>
        </w:rPr>
        <w:t> </w:t>
      </w:r>
      <w:r>
        <w:rPr>
          <w:rFonts w:ascii="Arial Unicode MS" w:hAnsi="Arial Unicode MS" w:cs="Arial Unicode MS" w:eastAsia="Arial Unicode MS"/>
          <w:spacing w:val="0"/>
          <w:w w:val="100"/>
          <w:position w:val="0"/>
          <w:sz w:val="14"/>
          <w:szCs w:val="14"/>
        </w:rPr>
        <w:t>(International</w:t>
      </w:r>
      <w:r>
        <w:rPr>
          <w:rFonts w:ascii="Arial Unicode MS" w:hAnsi="Arial Unicode MS" w:cs="Arial Unicode MS" w:eastAsia="Arial Unicode MS"/>
          <w:spacing w:val="-8"/>
          <w:w w:val="100"/>
          <w:position w:val="0"/>
          <w:sz w:val="14"/>
          <w:szCs w:val="14"/>
        </w:rPr>
        <w:t> </w:t>
      </w:r>
      <w:r>
        <w:rPr>
          <w:rFonts w:ascii="Arial Unicode MS" w:hAnsi="Arial Unicode MS" w:cs="Arial Unicode MS" w:eastAsia="Arial Unicode MS"/>
          <w:spacing w:val="0"/>
          <w:w w:val="100"/>
          <w:position w:val="0"/>
          <w:sz w:val="14"/>
          <w:szCs w:val="14"/>
        </w:rPr>
        <w:t>Paint)</w:t>
      </w:r>
      <w:r>
        <w:rPr>
          <w:rFonts w:ascii="Arial Unicode MS" w:hAnsi="Arial Unicode MS" w:cs="Arial Unicode MS" w:eastAsia="Arial Unicode MS"/>
          <w:spacing w:val="-4"/>
          <w:w w:val="100"/>
          <w:position w:val="0"/>
          <w:sz w:val="14"/>
          <w:szCs w:val="14"/>
        </w:rPr>
        <w:t> </w:t>
      </w:r>
      <w:r>
        <w:rPr>
          <w:rFonts w:ascii="Arial Unicode MS" w:hAnsi="Arial Unicode MS" w:cs="Arial Unicode MS" w:eastAsia="Arial Unicode MS"/>
          <w:spacing w:val="0"/>
          <w:w w:val="100"/>
          <w:position w:val="0"/>
          <w:sz w:val="14"/>
          <w:szCs w:val="14"/>
        </w:rPr>
        <w:t>咨询。</w:t>
      </w:r>
      <w:r>
        <w:rPr>
          <w:rFonts w:ascii="Arial Unicode MS" w:hAnsi="Arial Unicode MS" w:cs="Arial Unicode MS" w:eastAsia="Arial Unicode MS"/>
          <w:spacing w:val="0"/>
          <w:w w:val="100"/>
          <w:position w:val="0"/>
          <w:sz w:val="14"/>
          <w:szCs w:val="14"/>
        </w:rPr>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5538pt;width:522.75pt;height:40.8857pt;mso-position-horizontal-relative:page;mso-position-vertical-relative:paragraph;z-index:-565" coordorigin="757,139" coordsize="10455,818">
            <v:shape style="position:absolute;left:757;top:139;width:10455;height:818" coordorigin="757,139" coordsize="10455,818" path="m757,957l11212,957,11212,139,757,139,757,957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00" w:val="left"/>
        </w:tabs>
        <w:spacing w:before="0" w:after="0" w:line="178"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tab/>
      </w:r>
      <w:r>
        <w:rPr>
          <w:rFonts w:ascii="Arial Unicode MS" w:hAnsi="Arial Unicode MS" w:cs="Arial Unicode MS" w:eastAsia="Arial Unicode MS"/>
          <w:spacing w:val="0"/>
          <w:w w:val="100"/>
          <w:sz w:val="14"/>
          <w:szCs w:val="14"/>
        </w:rPr>
        <w:t>30.44</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千克</w:t>
      </w:r>
    </w:p>
    <w:p>
      <w:pPr>
        <w:tabs>
          <w:tab w:pos="4600" w:val="left"/>
        </w:tabs>
        <w:spacing w:before="2" w:after="0" w:line="233" w:lineRule="exact"/>
        <w:ind w:left="275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5</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美加仑</w:t>
        <w:tab/>
      </w:r>
      <w:r>
        <w:rPr>
          <w:rFonts w:ascii="Arial Unicode MS" w:hAnsi="Arial Unicode MS" w:cs="Arial Unicode MS" w:eastAsia="Arial Unicode MS"/>
          <w:spacing w:val="0"/>
          <w:w w:val="100"/>
          <w:position w:val="-1"/>
          <w:sz w:val="14"/>
          <w:szCs w:val="14"/>
        </w:rPr>
        <w:t>61.8</w:t>
      </w:r>
      <w:r>
        <w:rPr>
          <w:rFonts w:ascii="Arial Unicode MS" w:hAnsi="Arial Unicode MS" w:cs="Arial Unicode MS" w:eastAsia="Arial Unicode MS"/>
          <w:spacing w:val="-3"/>
          <w:w w:val="100"/>
          <w:position w:val="-1"/>
          <w:sz w:val="14"/>
          <w:szCs w:val="14"/>
        </w:rPr>
        <w:t> </w:t>
      </w:r>
      <w:r>
        <w:rPr>
          <w:rFonts w:ascii="Arial Unicode MS" w:hAnsi="Arial Unicode MS" w:cs="Arial Unicode MS" w:eastAsia="Arial Unicode MS"/>
          <w:spacing w:val="0"/>
          <w:w w:val="100"/>
          <w:position w:val="-1"/>
          <w:sz w:val="14"/>
          <w:szCs w:val="14"/>
        </w:rPr>
        <w:t>磅</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0" w:after="0" w:line="284" w:lineRule="exact"/>
        <w:ind w:left="137" w:right="-20"/>
        <w:jc w:val="left"/>
        <w:rPr>
          <w:rFonts w:ascii="Arial Unicode MS" w:hAnsi="Arial Unicode MS" w:cs="Arial Unicode MS" w:eastAsia="Arial Unicode MS"/>
          <w:sz w:val="16"/>
          <w:szCs w:val="16"/>
        </w:rPr>
      </w:pPr>
      <w:r>
        <w:rPr/>
        <w:pict>
          <v:group style="position:absolute;margin-left:37.349998pt;margin-top:2.008224pt;width:524.5pt;height:20.982pt;mso-position-horizontal-relative:page;mso-position-vertical-relative:paragraph;z-index:-564" coordorigin="747,40" coordsize="10490,420">
            <v:group style="position:absolute;left:757;top:50;width:10470;height:400" coordorigin="757,50" coordsize="10470,400">
              <v:shape style="position:absolute;left:757;top:50;width:10470;height:400" coordorigin="757,50" coordsize="10470,400" path="m757,450l11227,450,11227,50,757,50,757,450xe" filled="t" fillcolor="#D2D2D2" stroked="f">
                <v:path arrowok="t"/>
                <v:fill/>
              </v:shape>
            </v:group>
            <v:group style="position:absolute;left:2917;top:435;width:8280;height:2" coordorigin="2917,435" coordsize="8280,2">
              <v:shape style="position:absolute;left:2917;top:435;width:8280;height:2" coordorigin="2917,435" coordsize="8280,0" path="m2917,435l11197,435e" filled="f" stroked="t" strokeweight="1.5pt" strokecolor="#000000">
                <v:path arrowok="t"/>
              </v:shape>
            </v:group>
            <w10:wrap type="none"/>
          </v:group>
        </w:pict>
      </w:r>
      <w:r>
        <w:rPr>
          <w:rFonts w:ascii="Arial Unicode MS" w:hAnsi="Arial Unicode MS" w:cs="Arial Unicode MS" w:eastAsia="Arial Unicode MS"/>
          <w:spacing w:val="0"/>
          <w:w w:val="100"/>
          <w:position w:val="0"/>
          <w:sz w:val="22"/>
          <w:szCs w:val="22"/>
        </w:rPr>
        <w:t>贮存</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保存期限</w:t>
        <w:tab/>
      </w:r>
      <w:r>
        <w:rPr>
          <w:rFonts w:ascii="Arial Unicode MS" w:hAnsi="Arial Unicode MS" w:cs="Arial Unicode MS" w:eastAsia="Arial Unicode MS"/>
          <w:spacing w:val="0"/>
          <w:w w:val="100"/>
          <w:position w:val="4"/>
          <w:sz w:val="16"/>
          <w:szCs w:val="16"/>
        </w:rPr>
        <w:t>在</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时，最短为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12</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个月。此后需复查。贮存于干燥遮蔽之处，远离热源及火种。</w:t>
      </w:r>
      <w:r>
        <w:rPr>
          <w:rFonts w:ascii="Arial Unicode MS" w:hAnsi="Arial Unicode MS" w:cs="Arial Unicode MS" w:eastAsia="Arial Unicode MS"/>
          <w:spacing w:val="0"/>
          <w:w w:val="100"/>
          <w:position w:val="0"/>
          <w:sz w:val="16"/>
          <w:szCs w:val="16"/>
        </w:rPr>
      </w:r>
    </w:p>
    <w:p>
      <w:pPr>
        <w:spacing w:before="3" w:after="0" w:line="140" w:lineRule="exact"/>
        <w:jc w:val="left"/>
        <w:rPr>
          <w:sz w:val="14"/>
          <w:szCs w:val="14"/>
        </w:rPr>
      </w:pPr>
      <w:r>
        <w:rPr>
          <w:sz w:val="14"/>
          <w:szCs w:val="14"/>
        </w:rPr>
      </w:r>
    </w:p>
    <w:p>
      <w:pPr>
        <w:spacing w:before="0" w:after="0" w:line="200" w:lineRule="exact"/>
        <w:jc w:val="left"/>
        <w:rPr>
          <w:sz w:val="20"/>
          <w:szCs w:val="20"/>
        </w:rPr>
      </w:pPr>
      <w:r>
        <w:rPr>
          <w:sz w:val="20"/>
          <w:szCs w:val="20"/>
        </w:rPr>
      </w:r>
    </w:p>
    <w:p>
      <w:pPr>
        <w:spacing w:line="200" w:lineRule="exact" w:after="0"/>
        <w:jc w:val="left"/>
        <w:rPr>
          <w:sz w:val="20"/>
          <w:szCs w:val="20"/>
        </w:rPr>
        <w:sectPr>
          <w:pgSz w:w="11900" w:h="16820"/>
          <w:pgMar w:header="299" w:footer="1582" w:top="1040" w:bottom="1780" w:left="620" w:right="520"/>
        </w:sectPr>
      </w:pPr>
    </w:p>
    <w:p>
      <w:pPr>
        <w:spacing w:before="0" w:after="0" w:line="299"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全球供应情况</w:t>
      </w:r>
    </w:p>
    <w:p>
      <w:pPr>
        <w:spacing w:before="7" w:after="0" w:line="185" w:lineRule="auto"/>
        <w:ind w:right="2822"/>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FAJ035</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浅黄色在北美无法买到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其它颜色的涂料只在特定的国家供应，可向国际油漆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Paint)咨询。</w:t>
      </w:r>
      <w:r>
        <w:rPr>
          <w:rFonts w:ascii="Arial Unicode MS" w:hAnsi="Arial Unicode MS" w:cs="Arial Unicode MS" w:eastAsia="Arial Unicode MS"/>
          <w:spacing w:val="0"/>
          <w:w w:val="100"/>
          <w:sz w:val="16"/>
          <w:szCs w:val="16"/>
        </w:rPr>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438" w:space="840"/>
            <w:col w:w="8482"/>
          </w:cols>
        </w:sectPr>
      </w:pPr>
    </w:p>
    <w:p>
      <w:pPr>
        <w:spacing w:before="3" w:after="0" w:line="180" w:lineRule="exact"/>
        <w:jc w:val="left"/>
        <w:rPr>
          <w:sz w:val="18"/>
          <w:szCs w:val="18"/>
        </w:rPr>
      </w:pPr>
      <w:r>
        <w:rPr>
          <w:sz w:val="18"/>
          <w:szCs w:val="18"/>
        </w:rPr>
      </w:r>
    </w:p>
    <w:p>
      <w:pPr>
        <w:spacing w:line="180" w:lineRule="exact" w:after="0"/>
        <w:jc w:val="left"/>
        <w:rPr>
          <w:sz w:val="18"/>
          <w:szCs w:val="18"/>
        </w:rPr>
        <w:sectPr>
          <w:type w:val="continuous"/>
          <w:pgSz w:w="11900" w:h="16820"/>
          <w:pgMar w:top="1040" w:bottom="1780" w:left="620" w:right="52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18096pt;width:414pt;height:.1pt;mso-position-horizontal-relative:page;mso-position-vertical-relative:paragraph;z-index:-563" coordorigin="2897,-68" coordsize="8280,2">
            <v:shape style="position:absolute;left:2897;top:-68;width:8280;height:2" coordorigin="2897,-68" coordsize="8280,0" path="m2897,-68l11177,-68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7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导致的损失或损坏在法律允许的最大范围内概不负责。</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r>
        <w:rPr>
          <w:rFonts w:ascii="Arial Unicode MS" w:hAnsi="Arial Unicode MS" w:cs="Arial Unicode MS" w:eastAsia="Arial Unicode MS"/>
          <w:spacing w:val="0"/>
          <w:w w:val="100"/>
          <w:sz w:val="12"/>
          <w:szCs w:val="12"/>
        </w:rPr>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9"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10">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040" w:bottom="1780" w:left="620" w:right="520"/>
      <w:cols w:num="2" w:equalWidth="0">
        <w:col w:w="998" w:space="1274"/>
        <w:col w:w="848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573" type="#_x0000_t75">
          <v:imagedata r:id="rId1" o:title=""/>
        </v:shape>
      </w:pict>
    </w:r>
    <w:r>
      <w:rPr/>
      <w:pict>
        <v:group style="position:absolute;margin-left:36.860001pt;margin-top:780.25pt;width:455.53pt;height:.1pt;mso-position-horizontal-relative:page;mso-position-vertical-relative:page;z-index:-572"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571"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资料来源269</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575" type="#_x0000_t75">
          <v:imagedata r:id="rId1" o:title=""/>
        </v:shape>
      </w:pict>
    </w:r>
    <w:r>
      <w:rPr/>
      <w:pict>
        <v:shapetype id="_x0000_t202" o:spt="202" coordsize="21600,21600" path="m,l,21600r21600,l21600,xe">
          <v:stroke joinstyle="miter"/>
          <v:path gradientshapeok="t" o:connecttype="rect"/>
        </v:shapetype>
        <v:shape style="position:absolute;margin-left:414.480896pt;margin-top:13.964228pt;width:149.546903pt;height:39.970127pt;mso-position-horizontal-relative:page;mso-position-vertical-relative:page;z-index:-574"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263</w:t>
                </w:r>
                <w:r>
                  <w:rPr>
                    <w:rFonts w:ascii="Arial Unicode MS" w:hAnsi="Arial Unicode MS" w:cs="Arial Unicode MS" w:eastAsia="Arial Unicode MS"/>
                    <w:spacing w:val="0"/>
                    <w:w w:val="100"/>
                    <w:position w:val="0"/>
                    <w:sz w:val="48"/>
                    <w:szCs w:val="48"/>
                  </w:rPr>
                </w:r>
              </w:p>
              <w:p>
                <w:pPr>
                  <w:spacing w:before="0" w:after="0" w:line="262" w:lineRule="exact"/>
                  <w:ind w:left="1871"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环氧连接漆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570" type="#_x0000_t75">
          <v:imagedata r:id="rId1" o:title=""/>
        </v:shape>
      </w:pict>
    </w:r>
    <w:r>
      <w:rPr/>
      <w:pict>
        <v:shape style="position:absolute;margin-left:414.480896pt;margin-top:13.964228pt;width:149.546903pt;height:39.970127pt;mso-position-horizontal-relative:page;mso-position-vertical-relative:page;z-index:-569"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263</w:t>
                </w:r>
                <w:r>
                  <w:rPr>
                    <w:rFonts w:ascii="Arial Unicode MS" w:hAnsi="Arial Unicode MS" w:cs="Arial Unicode MS" w:eastAsia="Arial Unicode MS"/>
                    <w:spacing w:val="0"/>
                    <w:w w:val="100"/>
                    <w:position w:val="0"/>
                    <w:sz w:val="48"/>
                    <w:szCs w:val="48"/>
                  </w:rPr>
                </w:r>
              </w:p>
              <w:p>
                <w:pPr>
                  <w:spacing w:before="0" w:after="0" w:line="262" w:lineRule="exact"/>
                  <w:ind w:left="1871"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环氧连接漆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568" type="#_x0000_t75">
          <v:imagedata r:id="rId1" o:title=""/>
        </v:shape>
      </w:pict>
    </w:r>
    <w:r>
      <w:rPr/>
      <w:pict>
        <v:shape style="position:absolute;margin-left:414.480896pt;margin-top:13.964228pt;width:149.546903pt;height:39.970127pt;mso-position-horizontal-relative:page;mso-position-vertical-relative:page;z-index:-567"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263</w:t>
                </w:r>
                <w:r>
                  <w:rPr>
                    <w:rFonts w:ascii="Arial Unicode MS" w:hAnsi="Arial Unicode MS" w:cs="Arial Unicode MS" w:eastAsia="Arial Unicode MS"/>
                    <w:spacing w:val="0"/>
                    <w:w w:val="100"/>
                    <w:position w:val="0"/>
                    <w:sz w:val="48"/>
                    <w:szCs w:val="48"/>
                  </w:rPr>
                </w:r>
              </w:p>
              <w:p>
                <w:pPr>
                  <w:spacing w:before="0" w:after="0" w:line="262" w:lineRule="exact"/>
                  <w:ind w:left="1871"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环氧连接漆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5.jpg"/><Relationship Id="rId10"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Intergard 263 环氧连接漆 Intergard 1 07/07/2009 Intergard 263 I 269 chi-s</cp:keywords>
  <dc:subject>Technical Datasheet</dc:subject>
  <dc:title>Intergard 263</dc:title>
  <dcterms:created xsi:type="dcterms:W3CDTF">2015-07-27T15:49:20Z</dcterms:created>
  <dcterms:modified xsi:type="dcterms:W3CDTF">2015-07-27T15:49:20Z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