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1" w:after="0" w:line="190" w:lineRule="exact"/>
        <w:jc w:val="left"/>
        <w:rPr>
          <w:sz w:val="19"/>
          <w:szCs w:val="19"/>
        </w:rPr>
      </w:pPr>
      <w:r>
        <w:rPr>
          <w:sz w:val="19"/>
          <w:szCs w:val="19"/>
        </w:rPr>
      </w:r>
    </w:p>
    <w:p>
      <w:pPr>
        <w:spacing w:line="190" w:lineRule="exact" w:after="0"/>
        <w:jc w:val="left"/>
        <w:rPr>
          <w:sz w:val="19"/>
          <w:szCs w:val="19"/>
        </w:rPr>
        <w:sectPr>
          <w:headerReference w:type="default" r:id="rId5"/>
          <w:footerReference w:type="default" r:id="rId6"/>
          <w:type w:val="continuous"/>
          <w:pgSz w:w="11900" w:h="16820"/>
          <w:pgMar w:header="299" w:footer="1582" w:top="1040" w:bottom="1780" w:left="620" w:right="520"/>
          <w:pgNumType w:start="1"/>
        </w:sectPr>
      </w:pPr>
    </w:p>
    <w:p>
      <w:pPr>
        <w:spacing w:before="0" w:after="0" w:line="284"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产品概述</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一种两罐装、无焦油、环氧连接漆。</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94"/>
            <w:col w:w="8448"/>
          </w:cols>
        </w:sectPr>
      </w:pPr>
    </w:p>
    <w:p>
      <w:pPr>
        <w:spacing w:before="7"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040" w:bottom="1780" w:left="620" w:right="520"/>
        </w:sectPr>
      </w:pPr>
    </w:p>
    <w:p>
      <w:pPr>
        <w:spacing w:before="0" w:after="0" w:line="299" w:lineRule="exact"/>
        <w:ind w:left="137" w:right="-73"/>
        <w:jc w:val="left"/>
        <w:rPr>
          <w:rFonts w:ascii="Arial Unicode MS" w:hAnsi="Arial Unicode MS" w:cs="Arial Unicode MS" w:eastAsia="Arial Unicode MS"/>
          <w:sz w:val="22"/>
          <w:szCs w:val="22"/>
        </w:rPr>
      </w:pPr>
      <w:r>
        <w:rPr/>
        <w:pict>
          <v:group style="position:absolute;margin-left:145.850006pt;margin-top:-3.760176pt;width:414pt;height:.1pt;mso-position-horizontal-relative:page;mso-position-vertical-relative:paragraph;z-index:-575"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sz w:val="22"/>
          <w:szCs w:val="22"/>
        </w:rPr>
        <w:t>预期用途</w:t>
      </w:r>
    </w:p>
    <w:p>
      <w:pPr>
        <w:spacing w:before="7" w:after="0" w:line="185" w:lineRule="auto"/>
        <w:ind w:right="1521"/>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一种用于防锈漆和防污漆之间的过渡涂料，用以确保在船舶外壳区域上能获得最佳的体系附着力。</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一种用于含三丁基锡（TBT）防污漆的封闭涂层。</w:t>
      </w:r>
      <w:r>
        <w:rPr>
          <w:rFonts w:ascii="Arial Unicode MS" w:hAnsi="Arial Unicode MS" w:cs="Arial Unicode MS" w:eastAsia="Arial Unicode MS"/>
          <w:spacing w:val="0"/>
          <w:w w:val="100"/>
          <w:sz w:val="16"/>
          <w:szCs w:val="16"/>
        </w:rPr>
      </w:r>
    </w:p>
    <w:p>
      <w:pPr>
        <w:spacing w:before="0" w:after="0" w:line="213" w:lineRule="exact"/>
        <w:ind w:right="-20"/>
        <w:jc w:val="left"/>
        <w:rPr>
          <w:rFonts w:ascii="Arial Unicode MS" w:hAnsi="Arial Unicode MS" w:cs="Arial Unicode MS" w:eastAsia="Arial Unicode MS"/>
          <w:sz w:val="16"/>
          <w:szCs w:val="16"/>
        </w:rPr>
      </w:pPr>
      <w:r>
        <w:rPr/>
        <w:pict>
          <v:group style="position:absolute;margin-left:145.850006pt;margin-top:18.553381pt;width:414pt;height:.1pt;mso-position-horizontal-relative:page;mso-position-vertical-relative:paragraph;z-index:-574" coordorigin="2917,371" coordsize="8280,2">
            <v:shape style="position:absolute;left:2917;top:371;width:8280;height:2" coordorigin="2917,371" coordsize="8280,0" path="m2917,371l11197,371e" filled="f" stroked="t" strokeweight="1.5pt" strokecolor="#000000">
              <v:path arrowok="t"/>
            </v:shape>
            <w10:wrap type="none"/>
          </v:group>
        </w:pict>
      </w:r>
      <w:r>
        <w:rPr>
          <w:rFonts w:ascii="Arial Unicode MS" w:hAnsi="Arial Unicode MS" w:cs="Arial Unicode MS" w:eastAsia="Arial Unicode MS"/>
          <w:spacing w:val="0"/>
          <w:w w:val="100"/>
          <w:position w:val="0"/>
          <w:sz w:val="16"/>
          <w:szCs w:val="16"/>
        </w:rPr>
        <w:t>用于新造船、维修和保养或在航保养。</w:t>
      </w:r>
      <w:r>
        <w:rPr>
          <w:rFonts w:ascii="Arial Unicode MS" w:hAnsi="Arial Unicode MS" w:cs="Arial Unicode MS" w:eastAsia="Arial Unicode MS"/>
          <w:spacing w:val="0"/>
          <w:w w:val="100"/>
          <w:position w:val="0"/>
          <w:sz w:val="16"/>
          <w:szCs w:val="16"/>
        </w:rPr>
      </w:r>
    </w:p>
    <w:p>
      <w:pPr>
        <w:spacing w:line="213"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79"/>
            <w:col w:w="8463"/>
          </w:cols>
        </w:sectPr>
      </w:pPr>
    </w:p>
    <w:p>
      <w:pPr>
        <w:spacing w:before="13" w:after="0" w:line="220" w:lineRule="exact"/>
        <w:jc w:val="left"/>
        <w:rPr>
          <w:sz w:val="22"/>
          <w:szCs w:val="22"/>
        </w:rPr>
      </w:pPr>
      <w:r>
        <w:rPr>
          <w:sz w:val="22"/>
          <w:szCs w:val="22"/>
        </w:rPr>
      </w:r>
    </w:p>
    <w:p>
      <w:pPr>
        <w:spacing w:line="220" w:lineRule="exact" w:after="0"/>
        <w:jc w:val="left"/>
        <w:rPr>
          <w:sz w:val="22"/>
          <w:szCs w:val="22"/>
        </w:rPr>
        <w:sectPr>
          <w:type w:val="continuous"/>
          <w:pgSz w:w="11900" w:h="16820"/>
          <w:pgMar w:top="1040" w:bottom="1780" w:left="620" w:right="520"/>
        </w:sectPr>
      </w:pPr>
    </w:p>
    <w:p>
      <w:pPr>
        <w:tabs>
          <w:tab w:pos="2280" w:val="left"/>
        </w:tabs>
        <w:spacing w:before="0" w:after="0" w:line="284"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产品信息</w:t>
        <w:tab/>
      </w:r>
      <w:r>
        <w:rPr>
          <w:rFonts w:ascii="Arial Unicode MS" w:hAnsi="Arial Unicode MS" w:cs="Arial Unicode MS" w:eastAsia="Arial Unicode MS"/>
          <w:spacing w:val="0"/>
          <w:w w:val="100"/>
          <w:position w:val="0"/>
          <w:sz w:val="22"/>
          <w:szCs w:val="22"/>
        </w:rPr>
        <w:t>颜色</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FAJ034-浅灰色,</w:t>
      </w:r>
      <w:r>
        <w:rPr>
          <w:rFonts w:ascii="Arial Unicode MS" w:hAnsi="Arial Unicode MS" w:cs="Arial Unicode MS" w:eastAsia="Arial Unicode MS"/>
          <w:spacing w:val="-11"/>
          <w:w w:val="100"/>
          <w:sz w:val="16"/>
          <w:szCs w:val="16"/>
        </w:rPr>
        <w:t> </w:t>
      </w:r>
      <w:r>
        <w:rPr>
          <w:rFonts w:ascii="Arial Unicode MS" w:hAnsi="Arial Unicode MS" w:cs="Arial Unicode MS" w:eastAsia="Arial Unicode MS"/>
          <w:spacing w:val="0"/>
          <w:w w:val="100"/>
          <w:sz w:val="16"/>
          <w:szCs w:val="16"/>
        </w:rPr>
        <w:t>FAJ035-浅黄色</w:t>
      </w:r>
      <w:r>
        <w:rPr>
          <w:rFonts w:ascii="Arial Unicode MS" w:hAnsi="Arial Unicode MS" w:cs="Arial Unicode MS" w:eastAsia="Arial Unicode MS"/>
          <w:spacing w:val="-11"/>
          <w:w w:val="100"/>
          <w:sz w:val="16"/>
          <w:szCs w:val="16"/>
        </w:rPr>
        <w:t> </w:t>
      </w:r>
      <w:r>
        <w:rPr>
          <w:rFonts w:ascii="Arial Unicode MS" w:hAnsi="Arial Unicode MS" w:cs="Arial Unicode MS" w:eastAsia="Arial Unicode MS"/>
          <w:spacing w:val="0"/>
          <w:w w:val="100"/>
          <w:sz w:val="16"/>
          <w:szCs w:val="16"/>
        </w:rPr>
        <w:t>(参见“体系及配套性”一节)</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2738" w:space="1935"/>
            <w:col w:w="6087"/>
          </w:cols>
        </w:sectPr>
      </w:pPr>
    </w:p>
    <w:p>
      <w:pPr>
        <w:tabs>
          <w:tab w:pos="4660" w:val="left"/>
        </w:tabs>
        <w:spacing w:before="33" w:after="0" w:line="240" w:lineRule="auto"/>
        <w:ind w:left="2304"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面漆/光泽</w:t>
      </w:r>
      <w:r>
        <w:rPr>
          <w:rFonts w:ascii="Arial Unicode MS" w:hAnsi="Arial Unicode MS" w:cs="Arial Unicode MS" w:eastAsia="Arial Unicode MS"/>
          <w:spacing w:val="0"/>
          <w:w w:val="100"/>
          <w:sz w:val="22"/>
          <w:szCs w:val="22"/>
        </w:rPr>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无光</w:t>
      </w:r>
      <w:r>
        <w:rPr>
          <w:rFonts w:ascii="Arial Unicode MS" w:hAnsi="Arial Unicode MS" w:cs="Arial Unicode MS" w:eastAsia="Arial Unicode MS"/>
          <w:spacing w:val="0"/>
          <w:w w:val="100"/>
          <w:position w:val="0"/>
          <w:sz w:val="16"/>
          <w:szCs w:val="16"/>
        </w:rPr>
      </w:r>
    </w:p>
    <w:p>
      <w:pPr>
        <w:tabs>
          <w:tab w:pos="4660" w:val="left"/>
        </w:tabs>
        <w:spacing w:before="0" w:after="0" w:line="349"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乙组份（固化剂）</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3"/>
          <w:sz w:val="16"/>
          <w:szCs w:val="16"/>
        </w:rPr>
        <w:t>FAA262</w:t>
      </w:r>
      <w:r>
        <w:rPr>
          <w:rFonts w:ascii="Arial Unicode MS" w:hAnsi="Arial Unicode MS" w:cs="Arial Unicode MS" w:eastAsia="Arial Unicode MS"/>
          <w:spacing w:val="0"/>
          <w:w w:val="100"/>
          <w:position w:val="0"/>
          <w:sz w:val="16"/>
          <w:szCs w:val="16"/>
        </w:rPr>
      </w:r>
    </w:p>
    <w:p>
      <w:pPr>
        <w:spacing w:line="349"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spacing w:before="0" w:after="0" w:line="366" w:lineRule="exact"/>
        <w:ind w:right="-20"/>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体积固体份</w:t>
      </w:r>
      <w:r>
        <w:rPr>
          <w:rFonts w:ascii="Arial Unicode MS" w:hAnsi="Arial Unicode MS" w:cs="Arial Unicode MS" w:eastAsia="Arial Unicode MS"/>
          <w:spacing w:val="0"/>
          <w:w w:val="100"/>
          <w:position w:val="0"/>
          <w:sz w:val="22"/>
          <w:szCs w:val="22"/>
        </w:rPr>
      </w:r>
    </w:p>
    <w:p>
      <w:pPr>
        <w:spacing w:before="3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57％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3233:1998)</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3398" w:space="1275"/>
            <w:col w:w="6087"/>
          </w:cols>
        </w:sectPr>
      </w:pPr>
    </w:p>
    <w:p>
      <w:pPr>
        <w:spacing w:before="6" w:after="0" w:line="160" w:lineRule="exact"/>
        <w:jc w:val="left"/>
        <w:rPr>
          <w:sz w:val="16"/>
          <w:szCs w:val="16"/>
        </w:rPr>
      </w:pPr>
      <w:r>
        <w:rPr>
          <w:sz w:val="16"/>
          <w:szCs w:val="16"/>
        </w:rPr>
      </w:r>
    </w:p>
    <w:p>
      <w:pPr>
        <w:tabs>
          <w:tab w:pos="4660" w:val="left"/>
        </w:tabs>
        <w:spacing w:before="0" w:after="0" w:line="28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混合比例</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甲组份：乙组份=4：1</w:t>
      </w:r>
      <w:r>
        <w:rPr>
          <w:rFonts w:ascii="Arial Unicode MS" w:hAnsi="Arial Unicode MS" w:cs="Arial Unicode MS" w:eastAsia="Arial Unicode MS"/>
          <w:spacing w:val="-16"/>
          <w:w w:val="100"/>
          <w:position w:val="4"/>
          <w:sz w:val="16"/>
          <w:szCs w:val="16"/>
        </w:rPr>
        <w:t> </w:t>
      </w:r>
      <w:r>
        <w:rPr>
          <w:rFonts w:ascii="Arial Unicode MS" w:hAnsi="Arial Unicode MS" w:cs="Arial Unicode MS" w:eastAsia="Arial Unicode MS"/>
          <w:spacing w:val="0"/>
          <w:w w:val="100"/>
          <w:position w:val="4"/>
          <w:sz w:val="16"/>
          <w:szCs w:val="16"/>
        </w:rPr>
        <w:t>(体积比)</w:t>
      </w:r>
      <w:r>
        <w:rPr>
          <w:rFonts w:ascii="Arial Unicode MS" w:hAnsi="Arial Unicode MS" w:cs="Arial Unicode MS" w:eastAsia="Arial Unicode MS"/>
          <w:spacing w:val="0"/>
          <w:w w:val="100"/>
          <w:position w:val="0"/>
          <w:sz w:val="16"/>
          <w:szCs w:val="16"/>
        </w:rPr>
      </w:r>
    </w:p>
    <w:p>
      <w:pPr>
        <w:spacing w:line="284"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spacing w:before="65" w:after="0" w:line="230" w:lineRule="auto"/>
        <w:ind w:left="2291"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标准膜厚</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理论涂布率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施工方法</w:t>
      </w:r>
    </w:p>
    <w:p>
      <w:pPr>
        <w:spacing w:before="8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100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(175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微米湿膜厚)</w:t>
      </w:r>
    </w:p>
    <w:p>
      <w:pPr>
        <w:spacing w:before="24" w:after="0" w:line="370" w:lineRule="exact"/>
        <w:ind w:right="101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100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微米干膜厚时理论涂布率为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5.70</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米²/公升，允许适当的损耗系数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无气喷涂,</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刷涂,</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漆辊</w:t>
      </w:r>
    </w:p>
    <w:p>
      <w:pPr>
        <w:spacing w:line="370"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3392" w:space="1281"/>
            <w:col w:w="6087"/>
          </w:cols>
        </w:sectPr>
      </w:pPr>
    </w:p>
    <w:p>
      <w:pPr>
        <w:tabs>
          <w:tab w:pos="4660" w:val="left"/>
        </w:tabs>
        <w:spacing w:before="0" w:after="0" w:line="365"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闪点</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45°C;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乙组份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21°C;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混合后</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38°C</w:t>
      </w:r>
      <w:r>
        <w:rPr>
          <w:rFonts w:ascii="Arial Unicode MS" w:hAnsi="Arial Unicode MS" w:cs="Arial Unicode MS" w:eastAsia="Arial Unicode MS"/>
          <w:spacing w:val="0"/>
          <w:w w:val="100"/>
          <w:position w:val="0"/>
          <w:sz w:val="16"/>
          <w:szCs w:val="16"/>
        </w:rPr>
      </w:r>
    </w:p>
    <w:p>
      <w:pPr>
        <w:tabs>
          <w:tab w:pos="4660" w:val="left"/>
        </w:tabs>
        <w:spacing w:before="0" w:after="0" w:line="371" w:lineRule="exact"/>
        <w:ind w:left="2291" w:right="-20"/>
        <w:jc w:val="left"/>
        <w:rPr>
          <w:rFonts w:ascii="Arial Unicode MS" w:hAnsi="Arial Unicode MS" w:cs="Arial Unicode MS" w:eastAsia="Arial Unicode MS"/>
          <w:sz w:val="16"/>
          <w:szCs w:val="16"/>
        </w:rPr>
      </w:pPr>
      <w:r>
        <w:rPr/>
        <w:pict>
          <v:group style="position:absolute;margin-left:145.570007pt;margin-top:31.397234pt;width:414.0pt;height:.1pt;mso-position-horizontal-relative:page;mso-position-vertical-relative:paragraph;z-index:-572" coordorigin="2911,628" coordsize="8280,2">
            <v:shape style="position:absolute;left:2911;top:628;width:8280;height:2" coordorigin="2911,628" coordsize="8280,0" path="m2911,628l11191,628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熟化时间</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不需要</w:t>
      </w:r>
      <w:r>
        <w:rPr>
          <w:rFonts w:ascii="Arial Unicode MS" w:hAnsi="Arial Unicode MS" w:cs="Arial Unicode MS" w:eastAsia="Arial Unicode MS"/>
          <w:spacing w:val="0"/>
          <w:w w:val="100"/>
          <w:position w:val="0"/>
          <w:sz w:val="16"/>
          <w:szCs w:val="16"/>
        </w:rPr>
      </w:r>
    </w:p>
    <w:p>
      <w:pPr>
        <w:spacing w:before="12" w:after="0" w:line="260" w:lineRule="exact"/>
        <w:jc w:val="left"/>
        <w:rPr>
          <w:sz w:val="26"/>
          <w:szCs w:val="26"/>
        </w:rPr>
      </w:pPr>
      <w:r>
        <w:rPr>
          <w:sz w:val="26"/>
          <w:szCs w:val="26"/>
        </w:rPr>
      </w:r>
    </w:p>
    <w:tbl>
      <w:tblPr>
        <w:tblW w:w="0" w:type="auto"/>
        <w:jc w:val="left"/>
        <w:tblInd w:w="2223" w:type="dxa"/>
        <w:tblLayout w:type="fixed"/>
        <w:tblCellMar>
          <w:top w:w="0" w:type="dxa"/>
          <w:left w:w="0" w:type="dxa"/>
          <w:bottom w:w="0" w:type="dxa"/>
          <w:right w:w="0" w:type="dxa"/>
        </w:tblCellMar>
        <w:tblLook w:val="01E0"/>
      </w:tblPr>
      <w:tblGrid/>
      <w:tr>
        <w:trPr>
          <w:trHeight w:val="453" w:hRule="exact"/>
        </w:trPr>
        <w:tc>
          <w:tcPr>
            <w:tcW w:w="2351" w:type="dxa"/>
            <w:tcBorders>
              <w:top w:val="nil" w:sz="6" w:space="0" w:color="auto"/>
              <w:left w:val="nil" w:sz="6" w:space="0" w:color="auto"/>
              <w:bottom w:val="nil" w:sz="6" w:space="0" w:color="auto"/>
              <w:right w:val="nil" w:sz="6" w:space="0" w:color="auto"/>
            </w:tcBorders>
          </w:tcPr>
          <w:p>
            <w:pPr>
              <w:spacing w:before="93"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干燥资料</w:t>
            </w:r>
          </w:p>
        </w:tc>
        <w:tc>
          <w:tcPr>
            <w:tcW w:w="1265" w:type="dxa"/>
            <w:tcBorders>
              <w:top w:val="single" w:sz="12" w:space="0" w:color="000000"/>
              <w:left w:val="nil" w:sz="6" w:space="0" w:color="auto"/>
              <w:bottom w:val="single" w:sz="4" w:space="0" w:color="000000"/>
              <w:right w:val="nil" w:sz="6" w:space="0" w:color="auto"/>
            </w:tcBorders>
          </w:tcPr>
          <w:p>
            <w:pPr>
              <w:spacing w:before="93" w:after="0" w:line="240" w:lineRule="auto"/>
              <w:ind w:left="40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72" w:right="55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5°C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25°C</w:t>
            </w:r>
            <w:r>
              <w:rPr>
                <w:rFonts w:ascii="Arial Unicode MS" w:hAnsi="Arial Unicode MS" w:cs="Arial Unicode MS" w:eastAsia="Arial Unicode MS"/>
                <w:spacing w:val="0"/>
                <w:w w:val="100"/>
                <w:sz w:val="14"/>
                <w:szCs w:val="14"/>
              </w:rPr>
            </w:r>
          </w:p>
        </w:tc>
        <w:tc>
          <w:tcPr>
            <w:tcW w:w="1435"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0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35°C</w:t>
            </w:r>
            <w:r>
              <w:rPr>
                <w:rFonts w:ascii="Arial Unicode MS" w:hAnsi="Arial Unicode MS" w:cs="Arial Unicode MS" w:eastAsia="Arial Unicode MS"/>
                <w:spacing w:val="0"/>
                <w:w w:val="100"/>
                <w:sz w:val="14"/>
                <w:szCs w:val="14"/>
              </w:rPr>
            </w:r>
          </w:p>
        </w:tc>
      </w:tr>
      <w:tr>
        <w:trPr>
          <w:trHeight w:val="826" w:hRule="exact"/>
        </w:trPr>
        <w:tc>
          <w:tcPr>
            <w:tcW w:w="2351" w:type="dxa"/>
            <w:tcBorders>
              <w:top w:val="nil" w:sz="6" w:space="0" w:color="auto"/>
              <w:left w:val="nil" w:sz="6" w:space="0" w:color="auto"/>
              <w:bottom w:val="nil" w:sz="6" w:space="0" w:color="auto"/>
              <w:right w:val="nil" w:sz="6" w:space="0" w:color="auto"/>
            </w:tcBorders>
          </w:tcPr>
          <w:p>
            <w:pPr>
              <w:spacing w:before="3" w:after="0" w:line="242" w:lineRule="auto"/>
              <w:ind w:left="50" w:right="1063"/>
              <w:jc w:val="both"/>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表干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1517:73]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硬干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9117:90]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凝胶时间</w:t>
            </w:r>
          </w:p>
        </w:tc>
        <w:tc>
          <w:tcPr>
            <w:tcW w:w="1265" w:type="dxa"/>
            <w:tcBorders>
              <w:top w:val="single" w:sz="4" w:space="0" w:color="000000"/>
              <w:left w:val="nil" w:sz="6" w:space="0" w:color="auto"/>
              <w:bottom w:val="nil" w:sz="6" w:space="0" w:color="auto"/>
              <w:right w:val="nil" w:sz="6" w:space="0" w:color="auto"/>
            </w:tcBorders>
          </w:tcPr>
          <w:p>
            <w:pPr>
              <w:spacing w:before="3"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35" w:type="dxa"/>
            <w:tcBorders>
              <w:top w:val="single" w:sz="4" w:space="0" w:color="000000"/>
              <w:left w:val="nil" w:sz="6" w:space="0" w:color="auto"/>
              <w:bottom w:val="nil" w:sz="6" w:space="0" w:color="auto"/>
              <w:right w:val="nil" w:sz="6" w:space="0" w:color="auto"/>
            </w:tcBorders>
          </w:tcPr>
          <w:p>
            <w:pPr>
              <w:spacing w:before="3" w:after="0" w:line="240" w:lineRule="auto"/>
              <w:ind w:left="490"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2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90"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r>
    </w:tbl>
    <w:p>
      <w:pPr>
        <w:tabs>
          <w:tab w:pos="6520" w:val="left"/>
        </w:tabs>
        <w:spacing w:before="55" w:after="0" w:line="374" w:lineRule="exact"/>
        <w:ind w:left="2291"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复涂数据－见“限定”一节</w:t>
        <w:tab/>
      </w:r>
      <w:r>
        <w:rPr>
          <w:rFonts w:ascii="Arial Unicode MS" w:hAnsi="Arial Unicode MS" w:cs="Arial Unicode MS" w:eastAsia="Arial Unicode MS"/>
          <w:spacing w:val="0"/>
          <w:w w:val="100"/>
          <w:position w:val="-1"/>
          <w:sz w:val="22"/>
          <w:szCs w:val="22"/>
        </w:rPr>
        <w:t>底材温度</w:t>
      </w:r>
      <w:r>
        <w:rPr>
          <w:rFonts w:ascii="Arial Unicode MS" w:hAnsi="Arial Unicode MS" w:cs="Arial Unicode MS" w:eastAsia="Arial Unicode MS"/>
          <w:spacing w:val="0"/>
          <w:w w:val="100"/>
          <w:position w:val="0"/>
          <w:sz w:val="22"/>
          <w:szCs w:val="22"/>
        </w:rPr>
      </w:r>
    </w:p>
    <w:p>
      <w:pPr>
        <w:tabs>
          <w:tab w:pos="6440" w:val="left"/>
          <w:tab w:pos="7840" w:val="left"/>
          <w:tab w:pos="9280" w:val="left"/>
        </w:tabs>
        <w:spacing w:before="0" w:after="0" w:line="133" w:lineRule="exact"/>
        <w:ind w:left="498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25°C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35°C</w:t>
      </w:r>
      <w:r>
        <w:rPr>
          <w:rFonts w:ascii="Arial Unicode MS" w:hAnsi="Arial Unicode MS" w:cs="Arial Unicode MS" w:eastAsia="Arial Unicode MS"/>
          <w:spacing w:val="0"/>
          <w:w w:val="100"/>
          <w:sz w:val="14"/>
          <w:szCs w:val="14"/>
        </w:rPr>
      </w:r>
    </w:p>
    <w:tbl>
      <w:tblPr>
        <w:tblW w:w="0" w:type="auto"/>
        <w:jc w:val="left"/>
        <w:tblInd w:w="2194" w:type="dxa"/>
        <w:tblLayout w:type="fixed"/>
        <w:tblCellMar>
          <w:top w:w="0" w:type="dxa"/>
          <w:left w:w="0" w:type="dxa"/>
          <w:bottom w:w="0" w:type="dxa"/>
          <w:right w:w="0" w:type="dxa"/>
        </w:tblCellMar>
        <w:tblLook w:val="01E0"/>
      </w:tblPr>
      <w:tblGrid/>
      <w:tr>
        <w:trPr>
          <w:trHeight w:val="456" w:hRule="exact"/>
        </w:trPr>
        <w:tc>
          <w:tcPr>
            <w:tcW w:w="1852" w:type="dxa"/>
            <w:tcBorders>
              <w:top w:val="nil" w:sz="6" w:space="0" w:color="auto"/>
              <w:left w:val="nil" w:sz="6" w:space="0" w:color="auto"/>
              <w:bottom w:val="nil" w:sz="6" w:space="0" w:color="auto"/>
              <w:right w:val="nil" w:sz="6" w:space="0" w:color="auto"/>
            </w:tcBorders>
          </w:tcPr>
          <w:p>
            <w:pPr>
              <w:spacing w:before="36"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复涂下列产品时</w:t>
            </w:r>
          </w:p>
        </w:tc>
        <w:tc>
          <w:tcPr>
            <w:tcW w:w="1106" w:type="dxa"/>
            <w:tcBorders>
              <w:top w:val="nil" w:sz="6" w:space="0" w:color="auto"/>
              <w:left w:val="nil" w:sz="6" w:space="0" w:color="auto"/>
              <w:bottom w:val="nil" w:sz="6" w:space="0" w:color="auto"/>
              <w:right w:val="nil" w:sz="6" w:space="0" w:color="auto"/>
            </w:tcBorders>
          </w:tcPr>
          <w:p>
            <w:pPr>
              <w:spacing w:before="7" w:after="0" w:line="240" w:lineRule="auto"/>
              <w:ind w:left="57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650" w:type="dxa"/>
            <w:tcBorders>
              <w:top w:val="nil" w:sz="6" w:space="0" w:color="auto"/>
              <w:left w:val="nil" w:sz="6" w:space="0" w:color="auto"/>
              <w:bottom w:val="single" w:sz="4" w:space="0" w:color="000000"/>
              <w:right w:val="nil" w:sz="6" w:space="0" w:color="auto"/>
            </w:tcBorders>
          </w:tcPr>
          <w:p>
            <w:pPr>
              <w:spacing w:before="7" w:after="0" w:line="240" w:lineRule="auto"/>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c>
          <w:tcPr>
            <w:tcW w:w="790" w:type="dxa"/>
            <w:tcBorders>
              <w:top w:val="nil" w:sz="6" w:space="0" w:color="auto"/>
              <w:left w:val="nil" w:sz="6" w:space="0" w:color="auto"/>
              <w:bottom w:val="single" w:sz="4" w:space="0" w:color="000000"/>
              <w:right w:val="nil" w:sz="6" w:space="0" w:color="auto"/>
            </w:tcBorders>
          </w:tcPr>
          <w:p>
            <w:pPr>
              <w:spacing w:before="7" w:after="0" w:line="240" w:lineRule="auto"/>
              <w:ind w:left="2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678" w:type="dxa"/>
            <w:tcBorders>
              <w:top w:val="nil" w:sz="6" w:space="0" w:color="auto"/>
              <w:left w:val="nil" w:sz="6" w:space="0" w:color="auto"/>
              <w:bottom w:val="single" w:sz="4" w:space="0" w:color="000000"/>
              <w:right w:val="nil" w:sz="6" w:space="0" w:color="auto"/>
            </w:tcBorders>
          </w:tcPr>
          <w:p>
            <w:pPr>
              <w:spacing w:before="7" w:after="0" w:line="240" w:lineRule="auto"/>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c>
          <w:tcPr>
            <w:tcW w:w="751" w:type="dxa"/>
            <w:tcBorders>
              <w:top w:val="nil" w:sz="6" w:space="0" w:color="auto"/>
              <w:left w:val="nil" w:sz="6" w:space="0" w:color="auto"/>
              <w:bottom w:val="single" w:sz="4" w:space="0" w:color="000000"/>
              <w:right w:val="nil" w:sz="6" w:space="0" w:color="auto"/>
            </w:tcBorders>
          </w:tcPr>
          <w:p>
            <w:pPr>
              <w:spacing w:before="7" w:after="0" w:line="240" w:lineRule="auto"/>
              <w:ind w:left="22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680" w:type="dxa"/>
            <w:tcBorders>
              <w:top w:val="nil" w:sz="6" w:space="0" w:color="auto"/>
              <w:left w:val="nil" w:sz="6" w:space="0" w:color="auto"/>
              <w:bottom w:val="single" w:sz="4" w:space="0" w:color="000000"/>
              <w:right w:val="nil" w:sz="6" w:space="0" w:color="auto"/>
            </w:tcBorders>
          </w:tcPr>
          <w:p>
            <w:pPr>
              <w:spacing w:before="7" w:after="0" w:line="240" w:lineRule="auto"/>
              <w:ind w:left="19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c>
          <w:tcPr>
            <w:tcW w:w="751" w:type="dxa"/>
            <w:tcBorders>
              <w:top w:val="nil" w:sz="6" w:space="0" w:color="auto"/>
              <w:left w:val="nil" w:sz="6" w:space="0" w:color="auto"/>
              <w:bottom w:val="single" w:sz="4" w:space="0" w:color="000000"/>
              <w:right w:val="nil" w:sz="6" w:space="0" w:color="auto"/>
            </w:tcBorders>
          </w:tcPr>
          <w:p>
            <w:pPr>
              <w:spacing w:before="7" w:after="0" w:line="240" w:lineRule="auto"/>
              <w:ind w:left="23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612" w:type="dxa"/>
            <w:tcBorders>
              <w:top w:val="nil" w:sz="6" w:space="0" w:color="auto"/>
              <w:left w:val="nil" w:sz="6" w:space="0" w:color="auto"/>
              <w:bottom w:val="single" w:sz="4" w:space="0" w:color="000000"/>
              <w:right w:val="nil" w:sz="6" w:space="0" w:color="auto"/>
            </w:tcBorders>
          </w:tcPr>
          <w:p>
            <w:pPr>
              <w:spacing w:before="7" w:after="0" w:line="240" w:lineRule="auto"/>
              <w:ind w:left="20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r>
      <w:tr>
        <w:trPr>
          <w:trHeight w:val="286" w:hRule="exact"/>
        </w:trPr>
        <w:tc>
          <w:tcPr>
            <w:tcW w:w="1852" w:type="dxa"/>
            <w:tcBorders>
              <w:top w:val="nil" w:sz="6" w:space="0" w:color="auto"/>
              <w:left w:val="nil" w:sz="6" w:space="0" w:color="auto"/>
              <w:bottom w:val="nil" w:sz="6" w:space="0" w:color="auto"/>
              <w:right w:val="nil" w:sz="6" w:space="0" w:color="auto"/>
            </w:tcBorders>
          </w:tcPr>
          <w:p>
            <w:pPr>
              <w:spacing w:before="1"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Intergard</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263</w:t>
            </w:r>
          </w:p>
        </w:tc>
        <w:tc>
          <w:tcPr>
            <w:tcW w:w="1106" w:type="dxa"/>
            <w:tcBorders>
              <w:top w:val="nil" w:sz="6" w:space="0" w:color="auto"/>
              <w:left w:val="nil" w:sz="6" w:space="0" w:color="auto"/>
              <w:bottom w:val="nil" w:sz="6" w:space="0" w:color="auto"/>
              <w:right w:val="nil" w:sz="6" w:space="0" w:color="auto"/>
            </w:tcBorders>
          </w:tcPr>
          <w:p>
            <w:pPr>
              <w:spacing w:before="1" w:after="0" w:line="240" w:lineRule="auto"/>
              <w:ind w:left="70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650" w:type="dxa"/>
            <w:tcBorders>
              <w:top w:val="single" w:sz="4" w:space="0" w:color="000000"/>
              <w:left w:val="nil" w:sz="6" w:space="0" w:color="auto"/>
              <w:bottom w:val="nil" w:sz="6" w:space="0" w:color="auto"/>
              <w:right w:val="nil" w:sz="6" w:space="0" w:color="auto"/>
            </w:tcBorders>
          </w:tcPr>
          <w:p>
            <w:pPr>
              <w:spacing w:before="1" w:after="0" w:line="240" w:lineRule="auto"/>
              <w:ind w:left="292" w:right="23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790" w:type="dxa"/>
            <w:tcBorders>
              <w:top w:val="single" w:sz="4" w:space="0" w:color="000000"/>
              <w:left w:val="nil" w:sz="6" w:space="0" w:color="auto"/>
              <w:bottom w:val="nil" w:sz="6" w:space="0" w:color="auto"/>
              <w:right w:val="nil" w:sz="6" w:space="0" w:color="auto"/>
            </w:tcBorders>
          </w:tcPr>
          <w:p>
            <w:pPr>
              <w:spacing w:before="1" w:after="0" w:line="240" w:lineRule="auto"/>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single" w:sz="4" w:space="0" w:color="000000"/>
              <w:left w:val="nil" w:sz="6" w:space="0" w:color="auto"/>
              <w:bottom w:val="nil" w:sz="6" w:space="0" w:color="auto"/>
              <w:right w:val="nil" w:sz="6" w:space="0" w:color="auto"/>
            </w:tcBorders>
          </w:tcPr>
          <w:p>
            <w:pPr>
              <w:spacing w:before="1" w:after="0" w:line="240" w:lineRule="auto"/>
              <w:ind w:left="1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single" w:sz="4" w:space="0" w:color="000000"/>
              <w:left w:val="nil" w:sz="6" w:space="0" w:color="auto"/>
              <w:bottom w:val="nil" w:sz="6" w:space="0" w:color="auto"/>
              <w:right w:val="nil" w:sz="6" w:space="0" w:color="auto"/>
            </w:tcBorders>
          </w:tcPr>
          <w:p>
            <w:pPr>
              <w:spacing w:before="1" w:after="0" w:line="240" w:lineRule="auto"/>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single" w:sz="4" w:space="0" w:color="000000"/>
              <w:left w:val="nil" w:sz="6" w:space="0" w:color="auto"/>
              <w:bottom w:val="nil" w:sz="6" w:space="0" w:color="auto"/>
              <w:right w:val="nil" w:sz="6" w:space="0" w:color="auto"/>
            </w:tcBorders>
          </w:tcPr>
          <w:p>
            <w:pPr>
              <w:spacing w:before="1" w:after="0" w:line="240" w:lineRule="auto"/>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single" w:sz="4" w:space="0" w:color="000000"/>
              <w:left w:val="nil" w:sz="6" w:space="0" w:color="auto"/>
              <w:bottom w:val="nil" w:sz="6" w:space="0" w:color="auto"/>
              <w:right w:val="nil" w:sz="6" w:space="0" w:color="auto"/>
            </w:tcBorders>
          </w:tcPr>
          <w:p>
            <w:pPr>
              <w:spacing w:before="1" w:after="0" w:line="240" w:lineRule="auto"/>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12" w:type="dxa"/>
            <w:tcBorders>
              <w:top w:val="single" w:sz="4" w:space="0" w:color="000000"/>
              <w:left w:val="nil" w:sz="6" w:space="0" w:color="auto"/>
              <w:bottom w:val="nil" w:sz="6" w:space="0" w:color="auto"/>
              <w:right w:val="nil" w:sz="6" w:space="0" w:color="auto"/>
            </w:tcBorders>
          </w:tcPr>
          <w:p>
            <w:pPr>
              <w:spacing w:before="1" w:after="0" w:line="240" w:lineRule="auto"/>
              <w:ind w:left="17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r>
        <w:trPr>
          <w:trHeight w:val="245" w:hRule="exact"/>
        </w:trPr>
        <w:tc>
          <w:tcPr>
            <w:tcW w:w="1852"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Intergard</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740</w:t>
            </w:r>
          </w:p>
        </w:tc>
        <w:tc>
          <w:tcPr>
            <w:tcW w:w="1106" w:type="dxa"/>
            <w:tcBorders>
              <w:top w:val="nil" w:sz="6" w:space="0" w:color="auto"/>
              <w:left w:val="nil" w:sz="6" w:space="0" w:color="auto"/>
              <w:bottom w:val="nil" w:sz="6" w:space="0" w:color="auto"/>
              <w:right w:val="nil" w:sz="6" w:space="0" w:color="auto"/>
            </w:tcBorders>
          </w:tcPr>
          <w:p>
            <w:pPr>
              <w:spacing w:before="0" w:after="0" w:line="202" w:lineRule="exact"/>
              <w:ind w:left="70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650" w:type="dxa"/>
            <w:tcBorders>
              <w:top w:val="nil" w:sz="6" w:space="0" w:color="auto"/>
              <w:left w:val="nil" w:sz="6" w:space="0" w:color="auto"/>
              <w:bottom w:val="nil" w:sz="6" w:space="0" w:color="auto"/>
              <w:right w:val="nil" w:sz="6" w:space="0" w:color="auto"/>
            </w:tcBorders>
          </w:tcPr>
          <w:p>
            <w:pPr>
              <w:spacing w:before="0" w:after="0" w:line="202" w:lineRule="exact"/>
              <w:ind w:left="292" w:right="23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790"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nil" w:sz="6" w:space="0" w:color="auto"/>
              <w:left w:val="nil" w:sz="6" w:space="0" w:color="auto"/>
              <w:bottom w:val="nil" w:sz="6" w:space="0" w:color="auto"/>
              <w:right w:val="nil" w:sz="6" w:space="0" w:color="auto"/>
            </w:tcBorders>
          </w:tcPr>
          <w:p>
            <w:pPr>
              <w:spacing w:before="0" w:after="0" w:line="202" w:lineRule="exact"/>
              <w:ind w:left="1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nil" w:sz="6" w:space="0" w:color="auto"/>
              <w:left w:val="nil" w:sz="6" w:space="0" w:color="auto"/>
              <w:bottom w:val="nil" w:sz="6" w:space="0" w:color="auto"/>
              <w:right w:val="nil" w:sz="6" w:space="0" w:color="auto"/>
            </w:tcBorders>
          </w:tcPr>
          <w:p>
            <w:pPr>
              <w:spacing w:before="0" w:after="0" w:line="202" w:lineRule="exact"/>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12" w:type="dxa"/>
            <w:tcBorders>
              <w:top w:val="nil" w:sz="6" w:space="0" w:color="auto"/>
              <w:left w:val="nil" w:sz="6" w:space="0" w:color="auto"/>
              <w:bottom w:val="nil" w:sz="6" w:space="0" w:color="auto"/>
              <w:right w:val="nil" w:sz="6" w:space="0" w:color="auto"/>
            </w:tcBorders>
          </w:tcPr>
          <w:p>
            <w:pPr>
              <w:spacing w:before="0" w:after="0" w:line="202" w:lineRule="exact"/>
              <w:ind w:left="17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r>
        <w:trPr>
          <w:trHeight w:val="245" w:hRule="exact"/>
        </w:trPr>
        <w:tc>
          <w:tcPr>
            <w:tcW w:w="1852"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Intersheen</w:t>
            </w:r>
            <w:r>
              <w:rPr>
                <w:rFonts w:ascii="Arial Unicode MS" w:hAnsi="Arial Unicode MS" w:cs="Arial Unicode MS" w:eastAsia="Arial Unicode MS"/>
                <w:spacing w:val="-7"/>
                <w:w w:val="100"/>
                <w:sz w:val="14"/>
                <w:szCs w:val="14"/>
              </w:rPr>
              <w:t> </w:t>
            </w:r>
            <w:r>
              <w:rPr>
                <w:rFonts w:ascii="Arial Unicode MS" w:hAnsi="Arial Unicode MS" w:cs="Arial Unicode MS" w:eastAsia="Arial Unicode MS"/>
                <w:spacing w:val="0"/>
                <w:w w:val="100"/>
                <w:sz w:val="14"/>
                <w:szCs w:val="14"/>
              </w:rPr>
              <w:t>579</w:t>
            </w:r>
          </w:p>
        </w:tc>
        <w:tc>
          <w:tcPr>
            <w:tcW w:w="1106" w:type="dxa"/>
            <w:tcBorders>
              <w:top w:val="nil" w:sz="6" w:space="0" w:color="auto"/>
              <w:left w:val="nil" w:sz="6" w:space="0" w:color="auto"/>
              <w:bottom w:val="nil" w:sz="6" w:space="0" w:color="auto"/>
              <w:right w:val="nil" w:sz="6" w:space="0" w:color="auto"/>
            </w:tcBorders>
          </w:tcPr>
          <w:p>
            <w:pPr>
              <w:spacing w:before="0" w:after="0" w:line="202" w:lineRule="exact"/>
              <w:ind w:left="47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nil" w:sz="6" w:space="0" w:color="auto"/>
              <w:left w:val="nil" w:sz="6" w:space="0" w:color="auto"/>
              <w:bottom w:val="nil" w:sz="6" w:space="0" w:color="auto"/>
              <w:right w:val="nil" w:sz="6" w:space="0" w:color="auto"/>
            </w:tcBorders>
          </w:tcPr>
          <w:p>
            <w:pPr>
              <w:spacing w:before="0" w:after="0" w:line="202" w:lineRule="exact"/>
              <w:ind w:left="19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90"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nil" w:sz="6" w:space="0" w:color="auto"/>
              <w:left w:val="nil" w:sz="6" w:space="0" w:color="auto"/>
              <w:bottom w:val="nil" w:sz="6" w:space="0" w:color="auto"/>
              <w:right w:val="nil" w:sz="6" w:space="0" w:color="auto"/>
            </w:tcBorders>
          </w:tcPr>
          <w:p>
            <w:pPr>
              <w:spacing w:before="0" w:after="0" w:line="202" w:lineRule="exact"/>
              <w:ind w:left="19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nil" w:sz="6" w:space="0" w:color="auto"/>
              <w:left w:val="nil" w:sz="6" w:space="0" w:color="auto"/>
              <w:bottom w:val="nil" w:sz="6" w:space="0" w:color="auto"/>
              <w:right w:val="nil" w:sz="6" w:space="0" w:color="auto"/>
            </w:tcBorders>
          </w:tcPr>
          <w:p>
            <w:pPr>
              <w:spacing w:before="0" w:after="0" w:line="202" w:lineRule="exact"/>
              <w:ind w:left="20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12" w:type="dxa"/>
            <w:tcBorders>
              <w:top w:val="nil" w:sz="6" w:space="0" w:color="auto"/>
              <w:left w:val="nil" w:sz="6" w:space="0" w:color="auto"/>
              <w:bottom w:val="nil" w:sz="6" w:space="0" w:color="auto"/>
              <w:right w:val="nil" w:sz="6" w:space="0" w:color="auto"/>
            </w:tcBorders>
          </w:tcPr>
          <w:p>
            <w:pPr>
              <w:spacing w:before="0" w:after="0" w:line="202" w:lineRule="exact"/>
              <w:ind w:left="21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r>
        <w:trPr>
          <w:trHeight w:val="245" w:hRule="exact"/>
        </w:trPr>
        <w:tc>
          <w:tcPr>
            <w:tcW w:w="1852"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Intersleek</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717</w:t>
            </w:r>
          </w:p>
        </w:tc>
        <w:tc>
          <w:tcPr>
            <w:tcW w:w="1106" w:type="dxa"/>
            <w:tcBorders>
              <w:top w:val="nil" w:sz="6" w:space="0" w:color="auto"/>
              <w:left w:val="nil" w:sz="6" w:space="0" w:color="auto"/>
              <w:bottom w:val="nil" w:sz="6" w:space="0" w:color="auto"/>
              <w:right w:val="nil" w:sz="6" w:space="0" w:color="auto"/>
            </w:tcBorders>
          </w:tcPr>
          <w:p>
            <w:pPr>
              <w:spacing w:before="0" w:after="0" w:line="202" w:lineRule="exact"/>
              <w:ind w:left="70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650" w:type="dxa"/>
            <w:tcBorders>
              <w:top w:val="nil" w:sz="6" w:space="0" w:color="auto"/>
              <w:left w:val="nil" w:sz="6" w:space="0" w:color="auto"/>
              <w:bottom w:val="nil" w:sz="6" w:space="0" w:color="auto"/>
              <w:right w:val="nil" w:sz="6" w:space="0" w:color="auto"/>
            </w:tcBorders>
          </w:tcPr>
          <w:p>
            <w:pPr>
              <w:spacing w:before="0" w:after="0" w:line="202" w:lineRule="exact"/>
              <w:ind w:left="292" w:right="23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790"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nil" w:sz="6" w:space="0" w:color="auto"/>
              <w:left w:val="nil" w:sz="6" w:space="0" w:color="auto"/>
              <w:bottom w:val="nil" w:sz="6" w:space="0" w:color="auto"/>
              <w:right w:val="nil" w:sz="6" w:space="0" w:color="auto"/>
            </w:tcBorders>
          </w:tcPr>
          <w:p>
            <w:pPr>
              <w:spacing w:before="0" w:after="0" w:line="202" w:lineRule="exact"/>
              <w:ind w:left="21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nil" w:sz="6" w:space="0" w:color="auto"/>
              <w:left w:val="nil" w:sz="6" w:space="0" w:color="auto"/>
              <w:bottom w:val="nil" w:sz="6" w:space="0" w:color="auto"/>
              <w:right w:val="nil" w:sz="6" w:space="0" w:color="auto"/>
            </w:tcBorders>
          </w:tcPr>
          <w:p>
            <w:pPr>
              <w:spacing w:before="0" w:after="0" w:line="202" w:lineRule="exact"/>
              <w:ind w:left="22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12" w:type="dxa"/>
            <w:tcBorders>
              <w:top w:val="nil" w:sz="6" w:space="0" w:color="auto"/>
              <w:left w:val="nil" w:sz="6" w:space="0" w:color="auto"/>
              <w:bottom w:val="nil" w:sz="6" w:space="0" w:color="auto"/>
              <w:right w:val="nil" w:sz="6" w:space="0" w:color="auto"/>
            </w:tcBorders>
          </w:tcPr>
          <w:p>
            <w:pPr>
              <w:spacing w:before="0" w:after="0" w:line="202" w:lineRule="exact"/>
              <w:ind w:left="23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r>
      <w:tr>
        <w:trPr>
          <w:trHeight w:val="245" w:hRule="exact"/>
        </w:trPr>
        <w:tc>
          <w:tcPr>
            <w:tcW w:w="1852"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Intersmooth</w:t>
            </w:r>
            <w:r>
              <w:rPr>
                <w:rFonts w:ascii="Arial Unicode MS" w:hAnsi="Arial Unicode MS" w:cs="Arial Unicode MS" w:eastAsia="Arial Unicode MS"/>
                <w:spacing w:val="-7"/>
                <w:w w:val="100"/>
                <w:sz w:val="14"/>
                <w:szCs w:val="14"/>
              </w:rPr>
              <w:t> </w:t>
            </w:r>
            <w:r>
              <w:rPr>
                <w:rFonts w:ascii="Arial Unicode MS" w:hAnsi="Arial Unicode MS" w:cs="Arial Unicode MS" w:eastAsia="Arial Unicode MS"/>
                <w:spacing w:val="0"/>
                <w:w w:val="100"/>
                <w:sz w:val="14"/>
                <w:szCs w:val="14"/>
              </w:rPr>
              <w:t>460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SPC</w:t>
            </w:r>
            <w:r>
              <w:rPr>
                <w:rFonts w:ascii="Arial Unicode MS" w:hAnsi="Arial Unicode MS" w:cs="Arial Unicode MS" w:eastAsia="Arial Unicode MS"/>
                <w:spacing w:val="0"/>
                <w:w w:val="100"/>
                <w:sz w:val="14"/>
                <w:szCs w:val="14"/>
              </w:rPr>
            </w:r>
          </w:p>
        </w:tc>
        <w:tc>
          <w:tcPr>
            <w:tcW w:w="1106" w:type="dxa"/>
            <w:tcBorders>
              <w:top w:val="nil" w:sz="6" w:space="0" w:color="auto"/>
              <w:left w:val="nil" w:sz="6" w:space="0" w:color="auto"/>
              <w:bottom w:val="nil" w:sz="6" w:space="0" w:color="auto"/>
              <w:right w:val="nil" w:sz="6" w:space="0" w:color="auto"/>
            </w:tcBorders>
          </w:tcPr>
          <w:p>
            <w:pPr>
              <w:spacing w:before="0" w:after="0" w:line="202" w:lineRule="exact"/>
              <w:ind w:left="47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nil" w:sz="6" w:space="0" w:color="auto"/>
              <w:left w:val="nil" w:sz="6" w:space="0" w:color="auto"/>
              <w:bottom w:val="nil" w:sz="6" w:space="0" w:color="auto"/>
              <w:right w:val="nil" w:sz="6" w:space="0" w:color="auto"/>
            </w:tcBorders>
          </w:tcPr>
          <w:p>
            <w:pPr>
              <w:spacing w:before="0" w:after="0" w:line="202" w:lineRule="exact"/>
              <w:ind w:left="1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90"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nil" w:sz="6" w:space="0" w:color="auto"/>
              <w:left w:val="nil" w:sz="6" w:space="0" w:color="auto"/>
              <w:bottom w:val="nil" w:sz="6" w:space="0" w:color="auto"/>
              <w:right w:val="nil" w:sz="6" w:space="0" w:color="auto"/>
            </w:tcBorders>
          </w:tcPr>
          <w:p>
            <w:pPr>
              <w:spacing w:before="0" w:after="0" w:line="202" w:lineRule="exact"/>
              <w:ind w:left="19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nil" w:sz="6" w:space="0" w:color="auto"/>
              <w:left w:val="nil" w:sz="6" w:space="0" w:color="auto"/>
              <w:bottom w:val="nil" w:sz="6" w:space="0" w:color="auto"/>
              <w:right w:val="nil" w:sz="6" w:space="0" w:color="auto"/>
            </w:tcBorders>
          </w:tcPr>
          <w:p>
            <w:pPr>
              <w:spacing w:before="0" w:after="0" w:line="202" w:lineRule="exact"/>
              <w:ind w:left="20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12" w:type="dxa"/>
            <w:tcBorders>
              <w:top w:val="nil" w:sz="6" w:space="0" w:color="auto"/>
              <w:left w:val="nil" w:sz="6" w:space="0" w:color="auto"/>
              <w:bottom w:val="nil" w:sz="6" w:space="0" w:color="auto"/>
              <w:right w:val="nil" w:sz="6" w:space="0" w:color="auto"/>
            </w:tcBorders>
          </w:tcPr>
          <w:p>
            <w:pPr>
              <w:spacing w:before="0" w:after="0" w:line="202" w:lineRule="exact"/>
              <w:ind w:left="21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r>
        <w:trPr>
          <w:trHeight w:val="245" w:hRule="exact"/>
        </w:trPr>
        <w:tc>
          <w:tcPr>
            <w:tcW w:w="1852"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Interswift</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655</w:t>
            </w:r>
          </w:p>
        </w:tc>
        <w:tc>
          <w:tcPr>
            <w:tcW w:w="1106" w:type="dxa"/>
            <w:tcBorders>
              <w:top w:val="nil" w:sz="6" w:space="0" w:color="auto"/>
              <w:left w:val="nil" w:sz="6" w:space="0" w:color="auto"/>
              <w:bottom w:val="nil" w:sz="6" w:space="0" w:color="auto"/>
              <w:right w:val="nil" w:sz="6" w:space="0" w:color="auto"/>
            </w:tcBorders>
          </w:tcPr>
          <w:p>
            <w:pPr>
              <w:spacing w:before="0" w:after="0" w:line="202" w:lineRule="exact"/>
              <w:ind w:left="47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nil" w:sz="6" w:space="0" w:color="auto"/>
              <w:left w:val="nil" w:sz="6" w:space="0" w:color="auto"/>
              <w:bottom w:val="nil" w:sz="6" w:space="0" w:color="auto"/>
              <w:right w:val="nil" w:sz="6" w:space="0" w:color="auto"/>
            </w:tcBorders>
          </w:tcPr>
          <w:p>
            <w:pPr>
              <w:spacing w:before="0" w:after="0" w:line="202" w:lineRule="exact"/>
              <w:ind w:left="19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90"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nil" w:sz="6" w:space="0" w:color="auto"/>
              <w:left w:val="nil" w:sz="6" w:space="0" w:color="auto"/>
              <w:bottom w:val="nil" w:sz="6" w:space="0" w:color="auto"/>
              <w:right w:val="nil" w:sz="6" w:space="0" w:color="auto"/>
            </w:tcBorders>
          </w:tcPr>
          <w:p>
            <w:pPr>
              <w:spacing w:before="0" w:after="0" w:line="202" w:lineRule="exact"/>
              <w:ind w:left="19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nil" w:sz="6" w:space="0" w:color="auto"/>
              <w:left w:val="nil" w:sz="6" w:space="0" w:color="auto"/>
              <w:bottom w:val="nil" w:sz="6" w:space="0" w:color="auto"/>
              <w:right w:val="nil" w:sz="6" w:space="0" w:color="auto"/>
            </w:tcBorders>
          </w:tcPr>
          <w:p>
            <w:pPr>
              <w:spacing w:before="0" w:after="0" w:line="202" w:lineRule="exact"/>
              <w:ind w:left="20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12" w:type="dxa"/>
            <w:tcBorders>
              <w:top w:val="nil" w:sz="6" w:space="0" w:color="auto"/>
              <w:left w:val="nil" w:sz="6" w:space="0" w:color="auto"/>
              <w:bottom w:val="nil" w:sz="6" w:space="0" w:color="auto"/>
              <w:right w:val="nil" w:sz="6" w:space="0" w:color="auto"/>
            </w:tcBorders>
          </w:tcPr>
          <w:p>
            <w:pPr>
              <w:spacing w:before="0" w:after="0" w:line="202" w:lineRule="exact"/>
              <w:ind w:left="21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r>
        <w:trPr>
          <w:trHeight w:val="245" w:hRule="exact"/>
        </w:trPr>
        <w:tc>
          <w:tcPr>
            <w:tcW w:w="1852"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Interthane</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990</w:t>
            </w:r>
          </w:p>
        </w:tc>
        <w:tc>
          <w:tcPr>
            <w:tcW w:w="1106" w:type="dxa"/>
            <w:tcBorders>
              <w:top w:val="nil" w:sz="6" w:space="0" w:color="auto"/>
              <w:left w:val="nil" w:sz="6" w:space="0" w:color="auto"/>
              <w:bottom w:val="nil" w:sz="6" w:space="0" w:color="auto"/>
              <w:right w:val="nil" w:sz="6" w:space="0" w:color="auto"/>
            </w:tcBorders>
          </w:tcPr>
          <w:p>
            <w:pPr>
              <w:spacing w:before="0" w:after="0" w:line="202" w:lineRule="exact"/>
              <w:ind w:left="47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nil" w:sz="6" w:space="0" w:color="auto"/>
              <w:left w:val="nil" w:sz="6" w:space="0" w:color="auto"/>
              <w:bottom w:val="nil" w:sz="6" w:space="0" w:color="auto"/>
              <w:right w:val="nil" w:sz="6" w:space="0" w:color="auto"/>
            </w:tcBorders>
          </w:tcPr>
          <w:p>
            <w:pPr>
              <w:spacing w:before="0" w:after="0" w:line="202" w:lineRule="exact"/>
              <w:ind w:left="19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90"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nil" w:sz="6" w:space="0" w:color="auto"/>
              <w:left w:val="nil" w:sz="6" w:space="0" w:color="auto"/>
              <w:bottom w:val="nil" w:sz="6" w:space="0" w:color="auto"/>
              <w:right w:val="nil" w:sz="6" w:space="0" w:color="auto"/>
            </w:tcBorders>
          </w:tcPr>
          <w:p>
            <w:pPr>
              <w:spacing w:before="0" w:after="0" w:line="202" w:lineRule="exact"/>
              <w:ind w:left="19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nil" w:sz="6" w:space="0" w:color="auto"/>
              <w:left w:val="nil" w:sz="6" w:space="0" w:color="auto"/>
              <w:bottom w:val="nil" w:sz="6" w:space="0" w:color="auto"/>
              <w:right w:val="nil" w:sz="6" w:space="0" w:color="auto"/>
            </w:tcBorders>
          </w:tcPr>
          <w:p>
            <w:pPr>
              <w:spacing w:before="0" w:after="0" w:line="202" w:lineRule="exact"/>
              <w:ind w:left="20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12" w:type="dxa"/>
            <w:tcBorders>
              <w:top w:val="nil" w:sz="6" w:space="0" w:color="auto"/>
              <w:left w:val="nil" w:sz="6" w:space="0" w:color="auto"/>
              <w:bottom w:val="nil" w:sz="6" w:space="0" w:color="auto"/>
              <w:right w:val="nil" w:sz="6" w:space="0" w:color="auto"/>
            </w:tcBorders>
          </w:tcPr>
          <w:p>
            <w:pPr>
              <w:spacing w:before="0" w:after="0" w:line="202" w:lineRule="exact"/>
              <w:ind w:left="21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r>
        <w:trPr>
          <w:trHeight w:val="292" w:hRule="exact"/>
        </w:trPr>
        <w:tc>
          <w:tcPr>
            <w:tcW w:w="1852"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Intertuf</w:t>
            </w:r>
            <w:r>
              <w:rPr>
                <w:rFonts w:ascii="Arial Unicode MS" w:hAnsi="Arial Unicode MS" w:cs="Arial Unicode MS" w:eastAsia="Arial Unicode MS"/>
                <w:spacing w:val="-4"/>
                <w:w w:val="100"/>
                <w:sz w:val="14"/>
                <w:szCs w:val="14"/>
              </w:rPr>
              <w:t> </w:t>
            </w:r>
            <w:r>
              <w:rPr>
                <w:rFonts w:ascii="Arial Unicode MS" w:hAnsi="Arial Unicode MS" w:cs="Arial Unicode MS" w:eastAsia="Arial Unicode MS"/>
                <w:spacing w:val="0"/>
                <w:w w:val="100"/>
                <w:sz w:val="14"/>
                <w:szCs w:val="14"/>
              </w:rPr>
              <w:t>203</w:t>
            </w:r>
          </w:p>
        </w:tc>
        <w:tc>
          <w:tcPr>
            <w:tcW w:w="1106" w:type="dxa"/>
            <w:tcBorders>
              <w:top w:val="nil" w:sz="6" w:space="0" w:color="auto"/>
              <w:left w:val="nil" w:sz="6" w:space="0" w:color="auto"/>
              <w:bottom w:val="nil" w:sz="6" w:space="0" w:color="auto"/>
              <w:right w:val="nil" w:sz="6" w:space="0" w:color="auto"/>
            </w:tcBorders>
          </w:tcPr>
          <w:p>
            <w:pPr>
              <w:spacing w:before="0" w:after="0" w:line="202" w:lineRule="exact"/>
              <w:ind w:left="47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nil" w:sz="6" w:space="0" w:color="auto"/>
              <w:left w:val="nil" w:sz="6" w:space="0" w:color="auto"/>
              <w:bottom w:val="nil" w:sz="6" w:space="0" w:color="auto"/>
              <w:right w:val="nil" w:sz="6" w:space="0" w:color="auto"/>
            </w:tcBorders>
          </w:tcPr>
          <w:p>
            <w:pPr>
              <w:spacing w:before="0" w:after="0" w:line="202" w:lineRule="exact"/>
              <w:ind w:left="1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90"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78" w:type="dxa"/>
            <w:tcBorders>
              <w:top w:val="nil" w:sz="6" w:space="0" w:color="auto"/>
              <w:left w:val="nil" w:sz="6" w:space="0" w:color="auto"/>
              <w:bottom w:val="nil" w:sz="6" w:space="0" w:color="auto"/>
              <w:right w:val="nil" w:sz="6" w:space="0" w:color="auto"/>
            </w:tcBorders>
          </w:tcPr>
          <w:p>
            <w:pPr>
              <w:spacing w:before="0" w:after="0" w:line="202" w:lineRule="exact"/>
              <w:ind w:left="1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80" w:type="dxa"/>
            <w:tcBorders>
              <w:top w:val="nil" w:sz="6" w:space="0" w:color="auto"/>
              <w:left w:val="nil" w:sz="6" w:space="0" w:color="auto"/>
              <w:bottom w:val="nil" w:sz="6" w:space="0" w:color="auto"/>
              <w:right w:val="nil" w:sz="6" w:space="0" w:color="auto"/>
            </w:tcBorders>
          </w:tcPr>
          <w:p>
            <w:pPr>
              <w:spacing w:before="0" w:after="0" w:line="202" w:lineRule="exact"/>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51" w:type="dxa"/>
            <w:tcBorders>
              <w:top w:val="nil" w:sz="6" w:space="0" w:color="auto"/>
              <w:left w:val="nil" w:sz="6" w:space="0" w:color="auto"/>
              <w:bottom w:val="nil" w:sz="6" w:space="0" w:color="auto"/>
              <w:right w:val="nil" w:sz="6" w:space="0" w:color="auto"/>
            </w:tcBorders>
          </w:tcPr>
          <w:p>
            <w:pPr>
              <w:spacing w:before="0" w:after="0" w:line="202" w:lineRule="exact"/>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12" w:type="dxa"/>
            <w:tcBorders>
              <w:top w:val="nil" w:sz="6" w:space="0" w:color="auto"/>
              <w:left w:val="nil" w:sz="6" w:space="0" w:color="auto"/>
              <w:bottom w:val="nil" w:sz="6" w:space="0" w:color="auto"/>
              <w:right w:val="nil" w:sz="6" w:space="0" w:color="auto"/>
            </w:tcBorders>
          </w:tcPr>
          <w:p>
            <w:pPr>
              <w:spacing w:before="0" w:after="0" w:line="202" w:lineRule="exact"/>
              <w:ind w:left="17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bl>
    <w:p>
      <w:pPr>
        <w:spacing w:before="7" w:after="0" w:line="110" w:lineRule="exact"/>
        <w:jc w:val="left"/>
        <w:rPr>
          <w:sz w:val="11"/>
          <w:szCs w:val="11"/>
        </w:rPr>
      </w:pPr>
      <w:r>
        <w:rPr>
          <w:sz w:val="11"/>
          <w:szCs w:val="11"/>
        </w:rPr>
      </w:r>
    </w:p>
    <w:p>
      <w:pPr>
        <w:spacing w:before="13" w:after="0" w:line="185" w:lineRule="auto"/>
        <w:ind w:left="2685" w:right="708" w:hanging="450"/>
        <w:jc w:val="left"/>
        <w:rPr>
          <w:rFonts w:ascii="Arial Unicode MS" w:hAnsi="Arial Unicode MS" w:cs="Arial Unicode MS" w:eastAsia="Arial Unicode MS"/>
          <w:sz w:val="14"/>
          <w:szCs w:val="14"/>
        </w:rPr>
      </w:pPr>
      <w:r>
        <w:rPr/>
        <w:pict>
          <v:group style="position:absolute;margin-left:144.770004pt;margin-top:29.13113pt;width:411.75pt;height:.140pt;mso-position-horizontal-relative:page;mso-position-vertical-relative:paragraph;z-index:-573" coordorigin="2895,583" coordsize="8235,3">
            <v:shape style="position:absolute;left:2895;top:583;width:8235;height:3" coordorigin="2895,583" coordsize="8235,3" path="m2895,583l11130,585e" filled="f" stroked="t" strokeweight="1.5pt" strokecolor="#000000">
              <v:path arrowok="t"/>
            </v:shape>
            <w10:wrap type="none"/>
          </v:group>
        </w:pict>
      </w:r>
      <w:r>
        <w:rPr>
          <w:rFonts w:ascii="Arial Unicode MS" w:hAnsi="Arial Unicode MS" w:cs="Arial Unicode MS" w:eastAsia="Arial Unicode MS"/>
          <w:spacing w:val="0"/>
          <w:w w:val="100"/>
          <w:sz w:val="14"/>
          <w:szCs w:val="14"/>
        </w:rPr>
        <w:t>注解</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14"/>
          <w:w w:val="100"/>
          <w:sz w:val="14"/>
          <w:szCs w:val="14"/>
        </w:rPr>
        <w:t> </w:t>
      </w:r>
      <w:r>
        <w:rPr>
          <w:rFonts w:ascii="Arial Unicode MS" w:hAnsi="Arial Unicode MS" w:cs="Arial Unicode MS" w:eastAsia="Arial Unicode MS"/>
          <w:spacing w:val="0"/>
          <w:w w:val="100"/>
          <w:sz w:val="14"/>
          <w:szCs w:val="14"/>
        </w:rPr>
        <w:t>对于</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Intersmooth</w:t>
      </w:r>
      <w:r>
        <w:rPr>
          <w:rFonts w:ascii="Arial Unicode MS" w:hAnsi="Arial Unicode MS" w:cs="Arial Unicode MS" w:eastAsia="Arial Unicode MS"/>
          <w:spacing w:val="-7"/>
          <w:w w:val="100"/>
          <w:sz w:val="14"/>
          <w:szCs w:val="14"/>
        </w:rPr>
        <w:t> </w:t>
      </w:r>
      <w:r>
        <w:rPr>
          <w:rFonts w:ascii="Arial Unicode MS" w:hAnsi="Arial Unicode MS" w:cs="Arial Unicode MS" w:eastAsia="Arial Unicode MS"/>
          <w:spacing w:val="0"/>
          <w:w w:val="100"/>
          <w:sz w:val="14"/>
          <w:szCs w:val="14"/>
        </w:rPr>
        <w:t>360、365、465、465HS</w:t>
      </w:r>
      <w:r>
        <w:rPr>
          <w:rFonts w:ascii="Arial Unicode MS" w:hAnsi="Arial Unicode MS" w:cs="Arial Unicode MS" w:eastAsia="Arial Unicode MS"/>
          <w:spacing w:val="-15"/>
          <w:w w:val="100"/>
          <w:sz w:val="14"/>
          <w:szCs w:val="14"/>
        </w:rPr>
        <w:t> </w:t>
      </w:r>
      <w:r>
        <w:rPr>
          <w:rFonts w:ascii="Arial Unicode MS" w:hAnsi="Arial Unicode MS" w:cs="Arial Unicode MS" w:eastAsia="Arial Unicode MS"/>
          <w:spacing w:val="0"/>
          <w:w w:val="100"/>
          <w:sz w:val="14"/>
          <w:szCs w:val="14"/>
        </w:rPr>
        <w:t>SPC、Interspeed</w:t>
      </w:r>
      <w:r>
        <w:rPr>
          <w:rFonts w:ascii="Arial Unicode MS" w:hAnsi="Arial Unicode MS" w:cs="Arial Unicode MS" w:eastAsia="Arial Unicode MS"/>
          <w:spacing w:val="-11"/>
          <w:w w:val="100"/>
          <w:sz w:val="14"/>
          <w:szCs w:val="14"/>
        </w:rPr>
        <w:t> </w:t>
      </w:r>
      <w:r>
        <w:rPr>
          <w:rFonts w:ascii="Arial Unicode MS" w:hAnsi="Arial Unicode MS" w:cs="Arial Unicode MS" w:eastAsia="Arial Unicode MS"/>
          <w:spacing w:val="0"/>
          <w:w w:val="100"/>
          <w:sz w:val="14"/>
          <w:szCs w:val="14"/>
        </w:rPr>
        <w:t>340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和</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640，可遵循</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Intersmooth</w:t>
      </w:r>
      <w:r>
        <w:rPr>
          <w:rFonts w:ascii="Arial Unicode MS" w:hAnsi="Arial Unicode MS" w:cs="Arial Unicode MS" w:eastAsia="Arial Unicode MS"/>
          <w:spacing w:val="-7"/>
          <w:w w:val="100"/>
          <w:sz w:val="14"/>
          <w:szCs w:val="14"/>
        </w:rPr>
        <w:t> </w:t>
      </w:r>
      <w:r>
        <w:rPr>
          <w:rFonts w:ascii="Arial Unicode MS" w:hAnsi="Arial Unicode MS" w:cs="Arial Unicode MS" w:eastAsia="Arial Unicode MS"/>
          <w:spacing w:val="0"/>
          <w:w w:val="100"/>
          <w:sz w:val="14"/>
          <w:szCs w:val="14"/>
        </w:rPr>
        <w:t>460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SPC</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的复涂间隔。</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在韩国，Intersleek</w:t>
      </w:r>
      <w:r>
        <w:rPr>
          <w:rFonts w:ascii="Arial Unicode MS" w:hAnsi="Arial Unicode MS" w:cs="Arial Unicode MS" w:eastAsia="Arial Unicode MS"/>
          <w:spacing w:val="-12"/>
          <w:w w:val="100"/>
          <w:sz w:val="14"/>
          <w:szCs w:val="14"/>
        </w:rPr>
        <w:t> </w:t>
      </w:r>
      <w:r>
        <w:rPr>
          <w:rFonts w:ascii="Arial Unicode MS" w:hAnsi="Arial Unicode MS" w:cs="Arial Unicode MS" w:eastAsia="Arial Unicode MS"/>
          <w:spacing w:val="0"/>
          <w:w w:val="100"/>
          <w:sz w:val="14"/>
          <w:szCs w:val="14"/>
        </w:rPr>
        <w:t>717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仅可施工在</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Intergard</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263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上。</w:t>
      </w:r>
    </w:p>
    <w:p>
      <w:pPr>
        <w:spacing w:before="7" w:after="0" w:line="280" w:lineRule="exact"/>
        <w:jc w:val="left"/>
        <w:rPr>
          <w:sz w:val="28"/>
          <w:szCs w:val="28"/>
        </w:rPr>
      </w:pPr>
      <w:r>
        <w:rPr>
          <w:sz w:val="28"/>
          <w:szCs w:val="28"/>
        </w:rPr>
      </w:r>
    </w:p>
    <w:p>
      <w:pPr>
        <w:spacing w:line="280" w:lineRule="exact" w:after="0"/>
        <w:jc w:val="left"/>
        <w:rPr>
          <w:sz w:val="28"/>
          <w:szCs w:val="28"/>
        </w:rPr>
        <w:sectPr>
          <w:type w:val="continuous"/>
          <w:pgSz w:w="11900" w:h="16820"/>
          <w:pgMar w:top="1040" w:bottom="1780" w:left="620" w:right="520"/>
        </w:sectPr>
      </w:pPr>
    </w:p>
    <w:p>
      <w:pPr>
        <w:tabs>
          <w:tab w:pos="2380" w:val="left"/>
        </w:tabs>
        <w:spacing w:before="0" w:after="0" w:line="299" w:lineRule="exact"/>
        <w:ind w:left="137" w:right="-73"/>
        <w:jc w:val="left"/>
        <w:rPr>
          <w:rFonts w:ascii="Arial Unicode MS" w:hAnsi="Arial Unicode MS" w:cs="Arial Unicode MS" w:eastAsia="Arial Unicode MS"/>
          <w:sz w:val="22"/>
          <w:szCs w:val="22"/>
        </w:rPr>
      </w:pPr>
      <w:r>
        <w:rPr/>
        <w:pict>
          <v:group style="position:absolute;margin-left:37.849998pt;margin-top:2.501924pt;width:525.6pt;height:43.595pt;mso-position-horizontal-relative:page;mso-position-vertical-relative:paragraph;z-index:-571" coordorigin="757,50" coordsize="10512,872">
            <v:shape style="position:absolute;left:757;top:50;width:10512;height:872" coordorigin="757,50" coordsize="10512,872" path="m757,922l11269,922,11269,50,757,50,757,922xe" filled="t" fillcolor="#D2D2D2" stroked="f">
              <v:path arrowok="t"/>
              <v:fill/>
            </v:shape>
            <w10:wrap type="none"/>
          </v:group>
        </w:pict>
      </w:r>
      <w:r>
        <w:rPr>
          <w:rFonts w:ascii="Arial Unicode MS" w:hAnsi="Arial Unicode MS" w:cs="Arial Unicode MS" w:eastAsia="Arial Unicode MS"/>
          <w:spacing w:val="0"/>
          <w:w w:val="100"/>
          <w:sz w:val="22"/>
          <w:szCs w:val="22"/>
        </w:rPr>
        <w:t>法定数据</w:t>
        <w:tab/>
      </w:r>
      <w:r>
        <w:rPr>
          <w:rFonts w:ascii="Arial Unicode MS" w:hAnsi="Arial Unicode MS" w:cs="Arial Unicode MS" w:eastAsia="Arial Unicode MS"/>
          <w:spacing w:val="0"/>
          <w:w w:val="100"/>
          <w:sz w:val="22"/>
          <w:szCs w:val="22"/>
        </w:rPr>
        <w:t>挥发性有机化合物</w:t>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445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克/公升(原装涂料)</w:t>
      </w:r>
      <w:r>
        <w:rPr>
          <w:rFonts w:ascii="Arial Unicode MS" w:hAnsi="Arial Unicode MS" w:cs="Arial Unicode MS" w:eastAsia="Arial Unicode MS"/>
          <w:spacing w:val="-13"/>
          <w:w w:val="100"/>
          <w:sz w:val="16"/>
          <w:szCs w:val="16"/>
        </w:rPr>
        <w:t> </w:t>
      </w:r>
      <w:r>
        <w:rPr>
          <w:rFonts w:ascii="Arial Unicode MS" w:hAnsi="Arial Unicode MS" w:cs="Arial Unicode MS" w:eastAsia="Arial Unicode MS"/>
          <w:spacing w:val="0"/>
          <w:w w:val="100"/>
          <w:sz w:val="16"/>
          <w:szCs w:val="16"/>
        </w:rPr>
        <w:t>(EPA</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方法</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24)</w:t>
      </w:r>
    </w:p>
    <w:p>
      <w:pPr>
        <w:spacing w:before="0" w:after="0" w:line="203"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306</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克/千克(原装液体油漆)。欧盟溶剂排放指导</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(委员会指导</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1999/13/EC)</w:t>
      </w:r>
      <w:r>
        <w:rPr>
          <w:rFonts w:ascii="Arial Unicode MS" w:hAnsi="Arial Unicode MS" w:cs="Arial Unicode MS" w:eastAsia="Arial Unicode MS"/>
          <w:spacing w:val="0"/>
          <w:w w:val="100"/>
          <w:position w:val="0"/>
          <w:sz w:val="16"/>
          <w:szCs w:val="16"/>
        </w:rPr>
      </w:r>
    </w:p>
    <w:p>
      <w:pPr>
        <w:spacing w:line="203"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4148" w:space="669"/>
            <w:col w:w="5943"/>
          </w:cols>
        </w:sectPr>
      </w:pPr>
    </w:p>
    <w:p>
      <w:pPr>
        <w:spacing w:before="15" w:after="0" w:line="185" w:lineRule="auto"/>
        <w:ind w:left="2388" w:right="47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挥发性有机化合物值是典型值，仅提供用来作为参考。它们可能会随着诸如颜色和常规制造误差之类因素的改变</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而发生变化。</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20"/>
        </w:sectPr>
      </w:pPr>
    </w:p>
    <w:p>
      <w:pPr>
        <w:tabs>
          <w:tab w:pos="2280" w:val="left"/>
        </w:tabs>
        <w:spacing w:before="37" w:after="0" w:line="240" w:lineRule="auto"/>
        <w:ind w:left="13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证书</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当作为已核准的方案的一部分使用时，该产品拥有以下证书：</w:t>
      </w:r>
    </w:p>
    <w:p>
      <w:pPr>
        <w:spacing w:before="8" w:after="0" w:line="130" w:lineRule="exact"/>
        <w:jc w:val="left"/>
        <w:rPr>
          <w:sz w:val="13"/>
          <w:szCs w:val="13"/>
        </w:rPr>
      </w:pPr>
      <w:r>
        <w:rPr>
          <w:sz w:val="13"/>
          <w:szCs w:val="13"/>
        </w:rPr>
      </w:r>
    </w:p>
    <w:p>
      <w:pPr>
        <w:spacing w:before="0" w:after="0" w:line="185" w:lineRule="auto"/>
        <w:ind w:left="2297" w:right="315"/>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当按照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ASTM</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D5108-96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(修正后的)进行测试时,</w:t>
      </w:r>
      <w:r>
        <w:rPr>
          <w:rFonts w:ascii="Arial Unicode MS" w:hAnsi="Arial Unicode MS" w:cs="Arial Unicode MS" w:eastAsia="Arial Unicode MS"/>
          <w:spacing w:val="-16"/>
          <w:w w:val="100"/>
          <w:sz w:val="16"/>
          <w:szCs w:val="16"/>
        </w:rPr>
        <w:t> </w:t>
      </w:r>
      <w:r>
        <w:rPr>
          <w:rFonts w:ascii="Arial Unicode MS" w:hAnsi="Arial Unicode MS" w:cs="Arial Unicode MS" w:eastAsia="Arial Unicode MS"/>
          <w:spacing w:val="0"/>
          <w:w w:val="100"/>
          <w:sz w:val="16"/>
          <w:szCs w:val="16"/>
        </w:rPr>
        <w:t>100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微米干膜厚的Intergard</w:t>
      </w:r>
      <w:r>
        <w:rPr>
          <w:rFonts w:ascii="Arial Unicode MS" w:hAnsi="Arial Unicode MS" w:cs="Arial Unicode MS" w:eastAsia="Arial Unicode MS"/>
          <w:spacing w:val="-16"/>
          <w:w w:val="100"/>
          <w:sz w:val="16"/>
          <w:szCs w:val="16"/>
        </w:rPr>
        <w:t> </w:t>
      </w:r>
      <w:r>
        <w:rPr>
          <w:rFonts w:ascii="Arial Unicode MS" w:hAnsi="Arial Unicode MS" w:cs="Arial Unicode MS" w:eastAsia="Arial Unicode MS"/>
          <w:spacing w:val="0"/>
          <w:w w:val="100"/>
          <w:sz w:val="16"/>
          <w:szCs w:val="16"/>
        </w:rPr>
        <w:t>263</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会对下面的</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TBT</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防污漆的</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TBT</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渗</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出形成屏蔽层,</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长期实验正在进行中。</w:t>
      </w:r>
    </w:p>
    <w:p>
      <w:pPr>
        <w:spacing w:before="1" w:after="0" w:line="160" w:lineRule="exact"/>
        <w:jc w:val="left"/>
        <w:rPr>
          <w:sz w:val="16"/>
          <w:szCs w:val="16"/>
        </w:rPr>
      </w:pPr>
      <w:r>
        <w:rPr>
          <w:sz w:val="16"/>
          <w:szCs w:val="16"/>
        </w:rPr>
      </w:r>
    </w:p>
    <w:p>
      <w:pPr>
        <w:spacing w:before="0" w:after="0" w:line="266" w:lineRule="exact"/>
        <w:ind w:left="2297" w:right="-20"/>
        <w:jc w:val="left"/>
        <w:rPr>
          <w:rFonts w:ascii="Arial Unicode MS" w:hAnsi="Arial Unicode MS" w:cs="Arial Unicode MS" w:eastAsia="Arial Unicode MS"/>
          <w:sz w:val="16"/>
          <w:szCs w:val="16"/>
        </w:rPr>
      </w:pPr>
      <w:r>
        <w:rPr/>
        <w:pict>
          <v:group style="position:absolute;margin-left:145.850006pt;margin-top:19.071436pt;width:409.5pt;height:.1pt;mso-position-horizontal-relative:page;mso-position-vertical-relative:paragraph;z-index:-570" coordorigin="2917,381" coordsize="8190,2">
            <v:shape style="position:absolute;left:2917;top:381;width:8190;height:2" coordorigin="2917,381" coordsize="8190,0" path="m2917,381l11107,381e" filled="f" stroked="t" strokeweight="1.5pt" strokecolor="#000000">
              <v:path arrowok="t"/>
            </v:shape>
            <w10:wrap type="none"/>
          </v:group>
        </w:pict>
      </w:r>
      <w:r>
        <w:rPr>
          <w:rFonts w:ascii="Arial Unicode MS" w:hAnsi="Arial Unicode MS" w:cs="Arial Unicode MS" w:eastAsia="Arial Unicode MS"/>
          <w:spacing w:val="0"/>
          <w:w w:val="100"/>
          <w:position w:val="-1"/>
          <w:sz w:val="16"/>
          <w:szCs w:val="16"/>
        </w:rPr>
        <w:t>有关详细情况，请向贵处的国际油漆</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(International</w:t>
      </w:r>
      <w:r>
        <w:rPr>
          <w:rFonts w:ascii="Arial Unicode MS" w:hAnsi="Arial Unicode MS" w:cs="Arial Unicode MS" w:eastAsia="Arial Unicode MS"/>
          <w:spacing w:val="-9"/>
          <w:w w:val="100"/>
          <w:position w:val="-1"/>
          <w:sz w:val="16"/>
          <w:szCs w:val="16"/>
        </w:rPr>
        <w:t> </w:t>
      </w:r>
      <w:r>
        <w:rPr>
          <w:rFonts w:ascii="Arial Unicode MS" w:hAnsi="Arial Unicode MS" w:cs="Arial Unicode MS" w:eastAsia="Arial Unicode MS"/>
          <w:spacing w:val="0"/>
          <w:w w:val="100"/>
          <w:position w:val="-1"/>
          <w:sz w:val="16"/>
          <w:szCs w:val="16"/>
        </w:rPr>
        <w:t>Paint)</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p>
      <w:pPr>
        <w:spacing w:before="0" w:after="0" w:line="190" w:lineRule="exact"/>
        <w:jc w:val="left"/>
        <w:rPr>
          <w:sz w:val="19"/>
          <w:szCs w:val="19"/>
        </w:rPr>
      </w:pPr>
      <w:r>
        <w:rPr>
          <w:sz w:val="19"/>
          <w:szCs w:val="19"/>
        </w:rPr>
      </w:r>
    </w:p>
    <w:p>
      <w:pPr>
        <w:spacing w:line="190" w:lineRule="exact" w:after="0"/>
        <w:jc w:val="left"/>
        <w:rPr>
          <w:sz w:val="19"/>
          <w:szCs w:val="19"/>
        </w:rPr>
        <w:sectPr>
          <w:headerReference w:type="default" r:id="rId7"/>
          <w:pgSz w:w="11900" w:h="16820"/>
          <w:pgMar w:header="299" w:footer="1582" w:top="1040" w:bottom="1780" w:left="620" w:right="520"/>
        </w:sectPr>
      </w:pPr>
    </w:p>
    <w:p>
      <w:pPr>
        <w:spacing w:before="0" w:after="0" w:line="299"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体系及配套性</w:t>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有关最适于待保护表面的漆系，请向贵处的国际油漆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在水上区域，建议将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263</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FAJ035/FAA262</w:t>
      </w:r>
      <w:r>
        <w:rPr>
          <w:rFonts w:ascii="Arial Unicode MS" w:hAnsi="Arial Unicode MS" w:cs="Arial Unicode MS" w:eastAsia="Arial Unicode MS"/>
          <w:spacing w:val="-12"/>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淡黄色与特殊的不含铬酸铅的装饰面漆一起使用，以确保</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水上区域颜色均匀。请向国际油漆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咨询特殊建议。</w:t>
      </w:r>
    </w:p>
    <w:p>
      <w:pPr>
        <w:spacing w:before="0" w:after="0" w:line="430" w:lineRule="atLeast"/>
        <w:ind w:right="1448"/>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263</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仅应施工在环氧防锈底漆上，所用底漆取决于船舶区域和施工位置。一般底漆包括：</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Intershield</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300</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Intershield</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803</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Intershield</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343</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Intertuf</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262</w:t>
      </w:r>
    </w:p>
    <w:p>
      <w:pPr>
        <w:spacing w:before="0" w:after="0" w:line="203" w:lineRule="exact"/>
        <w:ind w:right="-20"/>
        <w:jc w:val="left"/>
        <w:rPr>
          <w:rFonts w:ascii="Arial Unicode MS" w:hAnsi="Arial Unicode MS" w:cs="Arial Unicode MS" w:eastAsia="Arial Unicode MS"/>
          <w:sz w:val="16"/>
          <w:szCs w:val="16"/>
        </w:rPr>
      </w:pPr>
      <w:r>
        <w:rPr/>
        <w:pict>
          <v:group style="position:absolute;margin-left:145.570007pt;margin-top:14.943718pt;width:414.0pt;height:.1pt;mso-position-horizontal-relative:page;mso-position-vertical-relative:paragraph;z-index:-569" coordorigin="2911,299" coordsize="8280,2">
            <v:shape style="position:absolute;left:2911;top:299;width:8280;height:2" coordorigin="2911,299" coordsize="8280,0" path="m2911,299l11191,299e" filled="f" stroked="t" strokeweight="1.5pt" strokecolor="#000000">
              <v:path arrowok="t"/>
            </v:shape>
            <w10:wrap type="none"/>
          </v:group>
        </w:pict>
      </w:r>
      <w:r>
        <w:rPr>
          <w:rFonts w:ascii="Arial Unicode MS" w:hAnsi="Arial Unicode MS" w:cs="Arial Unicode MS" w:eastAsia="Arial Unicode MS"/>
          <w:spacing w:val="0"/>
          <w:w w:val="100"/>
          <w:position w:val="0"/>
          <w:sz w:val="16"/>
          <w:szCs w:val="16"/>
        </w:rPr>
        <w:t>Intertuf</w:t>
      </w:r>
      <w:r>
        <w:rPr>
          <w:rFonts w:ascii="Arial Unicode MS" w:hAnsi="Arial Unicode MS" w:cs="Arial Unicode MS" w:eastAsia="Arial Unicode MS"/>
          <w:spacing w:val="-5"/>
          <w:w w:val="100"/>
          <w:position w:val="0"/>
          <w:sz w:val="16"/>
          <w:szCs w:val="16"/>
        </w:rPr>
        <w:t> </w:t>
      </w:r>
      <w:r>
        <w:rPr>
          <w:rFonts w:ascii="Arial Unicode MS" w:hAnsi="Arial Unicode MS" w:cs="Arial Unicode MS" w:eastAsia="Arial Unicode MS"/>
          <w:spacing w:val="0"/>
          <w:w w:val="100"/>
          <w:position w:val="0"/>
          <w:sz w:val="16"/>
          <w:szCs w:val="16"/>
        </w:rPr>
        <w:t>362</w:t>
      </w:r>
      <w:r>
        <w:rPr>
          <w:rFonts w:ascii="Arial Unicode MS" w:hAnsi="Arial Unicode MS" w:cs="Arial Unicode MS" w:eastAsia="Arial Unicode MS"/>
          <w:spacing w:val="0"/>
          <w:w w:val="100"/>
          <w:position w:val="0"/>
          <w:sz w:val="16"/>
          <w:szCs w:val="16"/>
        </w:rPr>
      </w:r>
    </w:p>
    <w:p>
      <w:pPr>
        <w:spacing w:line="203"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458" w:space="877"/>
            <w:col w:w="8425"/>
          </w:cols>
        </w:sectPr>
      </w:pPr>
    </w:p>
    <w:p>
      <w:pPr>
        <w:spacing w:before="1" w:after="0" w:line="170" w:lineRule="exact"/>
        <w:jc w:val="left"/>
        <w:rPr>
          <w:sz w:val="17"/>
          <w:szCs w:val="17"/>
        </w:rPr>
      </w:pPr>
      <w:r>
        <w:rPr>
          <w:sz w:val="17"/>
          <w:szCs w:val="17"/>
        </w:rPr>
      </w:r>
    </w:p>
    <w:p>
      <w:pPr>
        <w:spacing w:line="170" w:lineRule="exact" w:after="0"/>
        <w:jc w:val="left"/>
        <w:rPr>
          <w:sz w:val="17"/>
          <w:szCs w:val="17"/>
        </w:rPr>
        <w:sectPr>
          <w:type w:val="continuous"/>
          <w:pgSz w:w="11900" w:h="16820"/>
          <w:pgMar w:top="1040" w:bottom="1780" w:left="620" w:right="520"/>
        </w:sectPr>
      </w:pPr>
    </w:p>
    <w:p>
      <w:pPr>
        <w:spacing w:before="0" w:after="0" w:line="299"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表面处理</w:t>
      </w:r>
    </w:p>
    <w:p>
      <w:pPr>
        <w:spacing w:before="7" w:after="0" w:line="185" w:lineRule="auto"/>
        <w:ind w:right="3643"/>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99"/>
          <w:sz w:val="16"/>
          <w:szCs w:val="16"/>
        </w:rPr>
        <w:t>按照标准的“全球海洋规则(Worldwide</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Specifications)”使用。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所有待涂表面应清洁、干燥且无污染物。</w:t>
      </w:r>
    </w:p>
    <w:p>
      <w:pPr>
        <w:spacing w:before="0" w:after="0" w:line="185" w:lineRule="auto"/>
        <w:ind w:right="22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采用高压淡水冲洗或一般淡水冲洗，以合适为准，并按照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溶剂清理标准除去所有油或油脂、可溶性污染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物以及其它外来物质。</w:t>
      </w:r>
    </w:p>
    <w:p>
      <w:pPr>
        <w:spacing w:before="18"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263</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应始终施工在推荐的底漆涂层体系上。</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263</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应按照国际油漆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提供的规则使用。</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底漆表面应干燥且无任何污染物(油、油脂、盐等)，并在规定的复涂间隔时间内采用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263</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进行复涂(请参阅相</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关的底漆产品说明书)。</w:t>
      </w:r>
    </w:p>
    <w:p>
      <w:pPr>
        <w:spacing w:before="2" w:after="0" w:line="150" w:lineRule="exact"/>
        <w:jc w:val="left"/>
        <w:rPr>
          <w:sz w:val="15"/>
          <w:szCs w:val="15"/>
        </w:rPr>
      </w:pPr>
      <w:r>
        <w:rPr>
          <w:sz w:val="15"/>
          <w:szCs w:val="15"/>
        </w:rPr>
      </w:r>
    </w:p>
    <w:p>
      <w:pPr>
        <w:spacing w:before="0"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74"/>
            <w:col w:w="8468"/>
          </w:cols>
        </w:sectPr>
      </w:pPr>
    </w:p>
    <w:p>
      <w:pPr>
        <w:spacing w:before="39" w:after="0" w:line="274" w:lineRule="auto"/>
        <w:ind w:left="137" w:right="58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施工</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混合</w:t>
      </w:r>
    </w:p>
    <w:p>
      <w:pPr>
        <w:spacing w:before="0" w:after="0" w:line="180" w:lineRule="exact"/>
        <w:jc w:val="left"/>
        <w:rPr>
          <w:sz w:val="18"/>
          <w:szCs w:val="18"/>
        </w:rPr>
      </w:pPr>
      <w:r>
        <w:rPr>
          <w:sz w:val="18"/>
          <w:szCs w:val="18"/>
        </w:rPr>
      </w:r>
    </w:p>
    <w:p>
      <w:pPr>
        <w:spacing w:before="0" w:after="0" w:line="200" w:lineRule="exact"/>
        <w:jc w:val="left"/>
        <w:rPr>
          <w:sz w:val="20"/>
          <w:szCs w:val="20"/>
        </w:rPr>
      </w:pPr>
      <w:r>
        <w:rPr>
          <w:sz w:val="20"/>
          <w:szCs w:val="20"/>
        </w:rPr>
      </w:r>
    </w:p>
    <w:p>
      <w:pPr>
        <w:spacing w:before="0" w:after="0" w:line="319" w:lineRule="auto"/>
        <w:ind w:left="137"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稀释剂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无气喷涂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传统型喷涂</w:t>
      </w:r>
    </w:p>
    <w:p>
      <w:pPr>
        <w:spacing w:before="0" w:after="0" w:line="268"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刷涂</w:t>
      </w:r>
      <w:r>
        <w:rPr>
          <w:rFonts w:ascii="Arial Unicode MS" w:hAnsi="Arial Unicode MS" w:cs="Arial Unicode MS" w:eastAsia="Arial Unicode MS"/>
          <w:spacing w:val="0"/>
          <w:w w:val="100"/>
          <w:position w:val="0"/>
          <w:sz w:val="22"/>
          <w:szCs w:val="22"/>
        </w:rPr>
      </w:r>
    </w:p>
    <w:p>
      <w:pPr>
        <w:spacing w:before="0" w:after="0" w:line="366"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漆辊</w:t>
      </w:r>
      <w:r>
        <w:rPr>
          <w:rFonts w:ascii="Arial Unicode MS" w:hAnsi="Arial Unicode MS" w:cs="Arial Unicode MS" w:eastAsia="Arial Unicode MS"/>
          <w:spacing w:val="0"/>
          <w:w w:val="100"/>
          <w:position w:val="0"/>
          <w:sz w:val="22"/>
          <w:szCs w:val="22"/>
        </w:rPr>
      </w:r>
    </w:p>
    <w:p>
      <w:pPr>
        <w:spacing w:before="30" w:after="0" w:line="366"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清洁剂</w:t>
      </w:r>
      <w:r>
        <w:rPr>
          <w:rFonts w:ascii="Arial Unicode MS" w:hAnsi="Arial Unicode MS" w:cs="Arial Unicode MS" w:eastAsia="Arial Unicode MS"/>
          <w:spacing w:val="0"/>
          <w:w w:val="100"/>
          <w:position w:val="0"/>
          <w:sz w:val="22"/>
          <w:szCs w:val="22"/>
        </w:rPr>
      </w:r>
    </w:p>
    <w:p>
      <w:pPr>
        <w:spacing w:before="5" w:after="0" w:line="160" w:lineRule="exact"/>
        <w:jc w:val="left"/>
        <w:rPr>
          <w:sz w:val="16"/>
          <w:szCs w:val="16"/>
        </w:rPr>
      </w:pPr>
      <w:r>
        <w:rPr/>
        <w:br w:type="column"/>
      </w: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185" w:lineRule="auto"/>
        <w:ind w:left="30" w:right="268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涂料分装在两个容器中，作为一组供应。使用时应始终按供应的比例整组混合。</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(1)采用电动搅拌器搅拌基料(甲组份)。</w:t>
      </w:r>
    </w:p>
    <w:p>
      <w:pPr>
        <w:spacing w:before="0" w:after="0" w:line="224" w:lineRule="exact"/>
        <w:ind w:left="30"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混合全部固化剂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(乙组份)与基料</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(甲组份)，并采用电动搅拌器彻底搅拌。</w:t>
      </w:r>
    </w:p>
    <w:p>
      <w:pPr>
        <w:spacing w:before="1" w:after="0" w:line="150" w:lineRule="exact"/>
        <w:jc w:val="left"/>
        <w:rPr>
          <w:sz w:val="15"/>
          <w:szCs w:val="15"/>
        </w:rPr>
      </w:pPr>
      <w:r>
        <w:rPr>
          <w:sz w:val="15"/>
          <w:szCs w:val="15"/>
        </w:rPr>
      </w:r>
    </w:p>
    <w:p>
      <w:pPr>
        <w:spacing w:before="0" w:after="0" w:line="185" w:lineRule="auto"/>
        <w:ind w:left="15" w:right="306"/>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不推荐使用。仅在特殊情况下，使用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GTA220</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或国际牌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GTA415</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(以体积计，最高用量为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5%)。稀释不要超过当地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环保法规所允许的范围。</w:t>
      </w:r>
    </w:p>
    <w:p>
      <w:pPr>
        <w:spacing w:before="87" w:after="0" w:line="185" w:lineRule="auto"/>
        <w:ind w:right="362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喷嘴尺寸</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0.46-0.66</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毫米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(18-26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thou)</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喷嘴处的输出流体总压力不低于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176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千克/厘米²</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(2500磅/平方英寸)</w:t>
      </w:r>
      <w:r>
        <w:rPr>
          <w:rFonts w:ascii="Arial Unicode MS" w:hAnsi="Arial Unicode MS" w:cs="Arial Unicode MS" w:eastAsia="Arial Unicode MS"/>
          <w:spacing w:val="0"/>
          <w:w w:val="100"/>
          <w:sz w:val="16"/>
          <w:szCs w:val="16"/>
        </w:rPr>
      </w:r>
    </w:p>
    <w:p>
      <w:pPr>
        <w:spacing w:before="18" w:after="0" w:line="316" w:lineRule="auto"/>
        <w:ind w:right="335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不推荐采用传统型喷涂方法进行施工。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刷涂施工仅建议用于小面积。可能需要多道涂层，以达到规定的膜厚。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辊涂施工仅建议用于小面积。可能需要多道涂层，以达到规定的膜厚。</w:t>
      </w:r>
    </w:p>
    <w:p>
      <w:pPr>
        <w:spacing w:before="66"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GTA220/GTA822</w:t>
      </w:r>
      <w:r>
        <w:rPr>
          <w:rFonts w:ascii="Arial Unicode MS" w:hAnsi="Arial Unicode MS" w:cs="Arial Unicode MS" w:eastAsia="Arial Unicode MS"/>
          <w:spacing w:val="-12"/>
          <w:w w:val="100"/>
          <w:sz w:val="16"/>
          <w:szCs w:val="16"/>
        </w:rPr>
        <w:t> </w:t>
      </w:r>
      <w:r>
        <w:rPr>
          <w:rFonts w:ascii="Arial Unicode MS" w:hAnsi="Arial Unicode MS" w:cs="Arial Unicode MS" w:eastAsia="Arial Unicode MS"/>
          <w:spacing w:val="0"/>
          <w:w w:val="100"/>
          <w:sz w:val="16"/>
          <w:szCs w:val="16"/>
        </w:rPr>
        <w:t>或国际牌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GTA415</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headerReference w:type="default" r:id="rId8"/>
          <w:pgSz w:w="11900" w:h="16820"/>
          <w:pgMar w:header="299" w:footer="1582" w:top="1040" w:bottom="1780" w:left="620" w:right="520"/>
          <w:cols w:num="2" w:equalWidth="0">
            <w:col w:w="1238" w:space="1149"/>
            <w:col w:w="8373"/>
          </w:cols>
        </w:sectPr>
      </w:pPr>
    </w:p>
    <w:p>
      <w:pPr>
        <w:tabs>
          <w:tab w:pos="2380" w:val="left"/>
        </w:tabs>
        <w:spacing w:before="67" w:after="0" w:line="178" w:lineRule="auto"/>
        <w:ind w:left="2387" w:right="339" w:hanging="225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工作中止及清理</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不要让涂料残留在软管、喷枪或喷涂设备中。采用国际牌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GTA220/GTA822</w:t>
      </w:r>
      <w:r>
        <w:rPr>
          <w:rFonts w:ascii="Arial Unicode MS" w:hAnsi="Arial Unicode MS" w:cs="Arial Unicode MS" w:eastAsia="Arial Unicode MS"/>
          <w:spacing w:val="-12"/>
          <w:w w:val="100"/>
          <w:position w:val="0"/>
          <w:sz w:val="16"/>
          <w:szCs w:val="16"/>
        </w:rPr>
        <w:t> </w:t>
      </w:r>
      <w:r>
        <w:rPr>
          <w:rFonts w:ascii="Arial Unicode MS" w:hAnsi="Arial Unicode MS" w:cs="Arial Unicode MS" w:eastAsia="Arial Unicode MS"/>
          <w:spacing w:val="0"/>
          <w:w w:val="100"/>
          <w:position w:val="0"/>
          <w:sz w:val="16"/>
          <w:szCs w:val="16"/>
        </w:rPr>
        <w:t>或</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GTA415</w:t>
      </w:r>
      <w:r>
        <w:rPr>
          <w:rFonts w:ascii="Arial Unicode MS" w:hAnsi="Arial Unicode MS" w:cs="Arial Unicode MS" w:eastAsia="Arial Unicode MS"/>
          <w:spacing w:val="-6"/>
          <w:w w:val="100"/>
          <w:position w:val="0"/>
          <w:sz w:val="16"/>
          <w:szCs w:val="16"/>
        </w:rPr>
        <w:t> </w:t>
      </w:r>
      <w:r>
        <w:rPr>
          <w:rFonts w:ascii="Arial Unicode MS" w:hAnsi="Arial Unicode MS" w:cs="Arial Unicode MS" w:eastAsia="Arial Unicode MS"/>
          <w:spacing w:val="0"/>
          <w:w w:val="100"/>
          <w:position w:val="0"/>
          <w:sz w:val="16"/>
          <w:szCs w:val="16"/>
        </w:rPr>
        <w:t>彻底冲洗所有设</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备。一组油漆一经混合，不应再行密封，施工中如停顿时间过长，建议重新混合各组份，再开始施工。</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所有设备在使用后应立即采用国际牌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GTA220/GTA822</w:t>
      </w:r>
      <w:r>
        <w:rPr>
          <w:rFonts w:ascii="Arial Unicode MS" w:hAnsi="Arial Unicode MS" w:cs="Arial Unicode MS" w:eastAsia="Arial Unicode MS"/>
          <w:spacing w:val="-12"/>
          <w:w w:val="100"/>
          <w:position w:val="0"/>
          <w:sz w:val="16"/>
          <w:szCs w:val="16"/>
        </w:rPr>
        <w:t> </w:t>
      </w:r>
      <w:r>
        <w:rPr>
          <w:rFonts w:ascii="Arial Unicode MS" w:hAnsi="Arial Unicode MS" w:cs="Arial Unicode MS" w:eastAsia="Arial Unicode MS"/>
          <w:spacing w:val="0"/>
          <w:w w:val="100"/>
          <w:position w:val="0"/>
          <w:sz w:val="16"/>
          <w:szCs w:val="16"/>
        </w:rPr>
        <w:t>或</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GTA415</w:t>
      </w:r>
      <w:r>
        <w:rPr>
          <w:rFonts w:ascii="Arial Unicode MS" w:hAnsi="Arial Unicode MS" w:cs="Arial Unicode MS" w:eastAsia="Arial Unicode MS"/>
          <w:spacing w:val="-6"/>
          <w:w w:val="100"/>
          <w:position w:val="0"/>
          <w:sz w:val="16"/>
          <w:szCs w:val="16"/>
        </w:rPr>
        <w:t> </w:t>
      </w:r>
      <w:r>
        <w:rPr>
          <w:rFonts w:ascii="Arial Unicode MS" w:hAnsi="Arial Unicode MS" w:cs="Arial Unicode MS" w:eastAsia="Arial Unicode MS"/>
          <w:spacing w:val="0"/>
          <w:w w:val="100"/>
          <w:position w:val="0"/>
          <w:sz w:val="16"/>
          <w:szCs w:val="16"/>
        </w:rPr>
        <w:t>进行清洗。在一天的工作过程中，定时</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冲洗喷涂设备是一种良好的工作习惯。清洗次数取决于喷涂数量、温度和使用时间(包括耽搁的时间)。不要超过混</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合后施工时间。</w:t>
      </w:r>
    </w:p>
    <w:p>
      <w:pPr>
        <w:spacing w:before="0" w:after="0" w:line="214" w:lineRule="exact"/>
        <w:ind w:left="238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所有剩余涂料和空容器应按照当地适宜的规章/法律进行处置。</w:t>
      </w:r>
      <w:r>
        <w:rPr>
          <w:rFonts w:ascii="Arial Unicode MS" w:hAnsi="Arial Unicode MS" w:cs="Arial Unicode MS" w:eastAsia="Arial Unicode MS"/>
          <w:spacing w:val="0"/>
          <w:w w:val="100"/>
          <w:position w:val="0"/>
          <w:sz w:val="16"/>
          <w:szCs w:val="16"/>
        </w:rPr>
      </w:r>
    </w:p>
    <w:p>
      <w:pPr>
        <w:spacing w:before="8" w:after="0" w:line="240" w:lineRule="exact"/>
        <w:jc w:val="left"/>
        <w:rPr>
          <w:sz w:val="24"/>
          <w:szCs w:val="24"/>
        </w:rPr>
      </w:pPr>
      <w:r>
        <w:rPr>
          <w:sz w:val="24"/>
          <w:szCs w:val="24"/>
        </w:rPr>
      </w:r>
    </w:p>
    <w:p>
      <w:pPr>
        <w:tabs>
          <w:tab w:pos="2360" w:val="left"/>
        </w:tabs>
        <w:spacing w:before="8" w:after="0" w:line="158" w:lineRule="auto"/>
        <w:ind w:left="2372" w:right="326" w:hanging="2235"/>
        <w:jc w:val="left"/>
        <w:rPr>
          <w:rFonts w:ascii="Arial Unicode MS" w:hAnsi="Arial Unicode MS" w:cs="Arial Unicode MS" w:eastAsia="Arial Unicode MS"/>
          <w:sz w:val="16"/>
          <w:szCs w:val="16"/>
        </w:rPr>
      </w:pPr>
      <w:r>
        <w:rPr/>
        <w:pict>
          <v:group style="position:absolute;margin-left:149.600006pt;margin-top:27.471294pt;width:405.75pt;height:.1pt;mso-position-horizontal-relative:page;mso-position-vertical-relative:paragraph;z-index:-568" coordorigin="2992,549" coordsize="8115,2">
            <v:shape style="position:absolute;left:2992;top:549;width:8115;height:2" coordorigin="2992,549" coordsize="8115,0" path="m2992,549l11107,549e" filled="f" stroked="t" strokeweight="1.5pt" strokecolor="#000000">
              <v:path arrowok="t"/>
            </v:shape>
            <w10:wrap type="none"/>
          </v:group>
        </w:pict>
      </w:r>
      <w:r>
        <w:rPr>
          <w:rFonts w:ascii="Arial Unicode MS" w:hAnsi="Arial Unicode MS" w:cs="Arial Unicode MS" w:eastAsia="Arial Unicode MS"/>
          <w:spacing w:val="0"/>
          <w:w w:val="100"/>
          <w:position w:val="-4"/>
          <w:sz w:val="22"/>
          <w:szCs w:val="22"/>
        </w:rPr>
        <w:t>焊接</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如果在涂有该产品的金属上进行焊接或火焰切割，会散发灰尘和烟雾，需使用合适的个人防护设备及局部通风排气</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设施。在北美，按照</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ANSI/ASC</w:t>
      </w:r>
      <w:r>
        <w:rPr>
          <w:rFonts w:ascii="Arial Unicode MS" w:hAnsi="Arial Unicode MS" w:cs="Arial Unicode MS" w:eastAsia="Arial Unicode MS"/>
          <w:spacing w:val="-7"/>
          <w:w w:val="100"/>
          <w:position w:val="0"/>
          <w:sz w:val="16"/>
          <w:szCs w:val="16"/>
        </w:rPr>
        <w:t> </w:t>
      </w:r>
      <w:r>
        <w:rPr>
          <w:rFonts w:ascii="Arial Unicode MS" w:hAnsi="Arial Unicode MS" w:cs="Arial Unicode MS" w:eastAsia="Arial Unicode MS"/>
          <w:spacing w:val="0"/>
          <w:w w:val="100"/>
          <w:position w:val="0"/>
          <w:sz w:val="16"/>
          <w:szCs w:val="16"/>
        </w:rPr>
        <w:t>Z49.1</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“焊接和切割中的安全事项”中的指示进行操作。</w:t>
      </w:r>
    </w:p>
    <w:p>
      <w:pPr>
        <w:spacing w:before="4" w:after="0" w:line="190" w:lineRule="exact"/>
        <w:jc w:val="left"/>
        <w:rPr>
          <w:sz w:val="19"/>
          <w:szCs w:val="19"/>
        </w:rPr>
      </w:pPr>
      <w:r>
        <w:rPr>
          <w:sz w:val="19"/>
          <w:szCs w:val="19"/>
        </w:rPr>
      </w:r>
    </w:p>
    <w:p>
      <w:pPr>
        <w:tabs>
          <w:tab w:pos="2240" w:val="left"/>
        </w:tabs>
        <w:spacing w:before="0" w:after="0" w:line="297" w:lineRule="exact"/>
        <w:ind w:left="100" w:right="892"/>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安全</w:t>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所有与该产品的施工和使用有关的工作，均应按照国家关于健康、安全和环境保护方面的标准和规定进行。</w:t>
      </w:r>
      <w:r>
        <w:rPr>
          <w:rFonts w:ascii="Arial Unicode MS" w:hAnsi="Arial Unicode MS" w:cs="Arial Unicode MS" w:eastAsia="Arial Unicode MS"/>
          <w:spacing w:val="0"/>
          <w:w w:val="100"/>
          <w:position w:val="0"/>
          <w:sz w:val="16"/>
          <w:szCs w:val="16"/>
        </w:rPr>
      </w:r>
    </w:p>
    <w:p>
      <w:pPr>
        <w:spacing w:before="8" w:after="0" w:line="130" w:lineRule="exact"/>
        <w:jc w:val="left"/>
        <w:rPr>
          <w:sz w:val="13"/>
          <w:szCs w:val="13"/>
        </w:rPr>
      </w:pPr>
      <w:r>
        <w:rPr>
          <w:sz w:val="13"/>
          <w:szCs w:val="13"/>
        </w:rPr>
      </w:r>
    </w:p>
    <w:p>
      <w:pPr>
        <w:spacing w:before="0" w:after="0" w:line="185" w:lineRule="auto"/>
        <w:ind w:left="2291" w:right="40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使用该产品前，应获取、参阅并遵循该产品“材料安全说明书”有关健康和安全方面的信息规定。参阅并遵守“材料安</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全说明书”和包装容器标牌上的所有预防措施。如果您未完全了解这些告诫和规定，或者不能严格遵守，请勿使用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该产品。在该产品的施工和干燥过程中，必须采用合适的通风和防范措施，将溶剂蒸汽浓度控制在安全限定值以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内，以防止发生中毒或缺氧的危险。采取保护措施，避免皮肤和眼睛与该产品接触(例如：手套、护目镜、面罩、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隔离霜等)。具体安全措施应视施工方法和工作环境而定。</w:t>
      </w:r>
    </w:p>
    <w:p>
      <w:pPr>
        <w:spacing w:before="0" w:after="0" w:line="22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紧急联系电话：</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美国/加拿大</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医疗咨询电话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1-800-854-6813</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欧洲</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联系电话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4696111。医院及医生诊视电话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6359191</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R.O.W.</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与地区办事处联系</w:t>
      </w:r>
    </w:p>
    <w:p>
      <w:pPr>
        <w:spacing w:line="214"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spacing w:before="4" w:after="0" w:line="110" w:lineRule="exact"/>
        <w:jc w:val="left"/>
        <w:rPr>
          <w:sz w:val="11"/>
          <w:szCs w:val="11"/>
        </w:rPr>
      </w:pPr>
      <w:r>
        <w:rPr>
          <w:sz w:val="11"/>
          <w:szCs w:val="11"/>
        </w:rPr>
      </w:r>
    </w:p>
    <w:p>
      <w:pPr>
        <w:tabs>
          <w:tab w:pos="2280" w:val="left"/>
        </w:tabs>
        <w:spacing w:before="0" w:after="0" w:line="172" w:lineRule="auto"/>
        <w:ind w:left="2297" w:right="269" w:hanging="2160"/>
        <w:jc w:val="both"/>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限制</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局部修补</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Intertuf</w:t>
      </w:r>
      <w:r>
        <w:rPr>
          <w:rFonts w:ascii="Arial Unicode MS" w:hAnsi="Arial Unicode MS" w:cs="Arial Unicode MS" w:eastAsia="Arial Unicode MS"/>
          <w:spacing w:val="-5"/>
          <w:w w:val="100"/>
          <w:position w:val="0"/>
          <w:sz w:val="16"/>
          <w:szCs w:val="16"/>
        </w:rPr>
        <w:t> </w:t>
      </w:r>
      <w:r>
        <w:rPr>
          <w:rFonts w:ascii="Arial Unicode MS" w:hAnsi="Arial Unicode MS" w:cs="Arial Unicode MS" w:eastAsia="Arial Unicode MS"/>
          <w:spacing w:val="0"/>
          <w:w w:val="100"/>
          <w:position w:val="0"/>
          <w:sz w:val="16"/>
          <w:szCs w:val="16"/>
        </w:rPr>
        <w:t>262/Intergard</w:t>
      </w:r>
      <w:r>
        <w:rPr>
          <w:rFonts w:ascii="Arial Unicode MS" w:hAnsi="Arial Unicode MS" w:cs="Arial Unicode MS" w:eastAsia="Arial Unicode MS"/>
          <w:spacing w:val="-10"/>
          <w:w w:val="100"/>
          <w:position w:val="0"/>
          <w:sz w:val="16"/>
          <w:szCs w:val="16"/>
        </w:rPr>
        <w:t> </w:t>
      </w:r>
      <w:r>
        <w:rPr>
          <w:rFonts w:ascii="Arial Unicode MS" w:hAnsi="Arial Unicode MS" w:cs="Arial Unicode MS" w:eastAsia="Arial Unicode MS"/>
          <w:spacing w:val="0"/>
          <w:w w:val="100"/>
          <w:position w:val="0"/>
          <w:sz w:val="16"/>
          <w:szCs w:val="16"/>
        </w:rPr>
        <w:t>263可用于局部修补现有环氧、煤焦油环氧、氯化橡胶、乙烯焦油和无焦油乙烯涂</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层。砂薄搭接区域必须保持在最小范围。请向国际油漆</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(International</w:t>
      </w:r>
      <w:r>
        <w:rPr>
          <w:rFonts w:ascii="Arial Unicode MS" w:hAnsi="Arial Unicode MS" w:cs="Arial Unicode MS" w:eastAsia="Arial Unicode MS"/>
          <w:spacing w:val="-9"/>
          <w:w w:val="100"/>
          <w:position w:val="0"/>
          <w:sz w:val="16"/>
          <w:szCs w:val="16"/>
        </w:rPr>
        <w:t> </w:t>
      </w:r>
      <w:r>
        <w:rPr>
          <w:rFonts w:ascii="Arial Unicode MS" w:hAnsi="Arial Unicode MS" w:cs="Arial Unicode MS" w:eastAsia="Arial Unicode MS"/>
          <w:spacing w:val="0"/>
          <w:w w:val="100"/>
          <w:position w:val="0"/>
          <w:sz w:val="16"/>
          <w:szCs w:val="16"/>
        </w:rPr>
        <w:t>Paint)</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咨询。Intertuf</w:t>
      </w:r>
      <w:r>
        <w:rPr>
          <w:rFonts w:ascii="Arial Unicode MS" w:hAnsi="Arial Unicode MS" w:cs="Arial Unicode MS" w:eastAsia="Arial Unicode MS"/>
          <w:spacing w:val="-10"/>
          <w:w w:val="100"/>
          <w:position w:val="0"/>
          <w:sz w:val="16"/>
          <w:szCs w:val="16"/>
        </w:rPr>
        <w:t> </w:t>
      </w:r>
      <w:r>
        <w:rPr>
          <w:rFonts w:ascii="Arial Unicode MS" w:hAnsi="Arial Unicode MS" w:cs="Arial Unicode MS" w:eastAsia="Arial Unicode MS"/>
          <w:spacing w:val="0"/>
          <w:w w:val="100"/>
          <w:position w:val="0"/>
          <w:sz w:val="16"/>
          <w:szCs w:val="16"/>
        </w:rPr>
        <w:t>262/Intergard</w:t>
      </w:r>
      <w:r>
        <w:rPr>
          <w:rFonts w:ascii="Arial Unicode MS" w:hAnsi="Arial Unicode MS" w:cs="Arial Unicode MS" w:eastAsia="Arial Unicode MS"/>
          <w:spacing w:val="-10"/>
          <w:w w:val="100"/>
          <w:position w:val="0"/>
          <w:sz w:val="16"/>
          <w:szCs w:val="16"/>
        </w:rPr>
        <w:t> </w:t>
      </w:r>
      <w:r>
        <w:rPr>
          <w:rFonts w:ascii="Arial Unicode MS" w:hAnsi="Arial Unicode MS" w:cs="Arial Unicode MS" w:eastAsia="Arial Unicode MS"/>
          <w:spacing w:val="0"/>
          <w:w w:val="100"/>
          <w:position w:val="0"/>
          <w:sz w:val="16"/>
          <w:szCs w:val="16"/>
        </w:rPr>
        <w:t>263</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不适于</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修补沥青涂料。</w:t>
      </w:r>
    </w:p>
    <w:p>
      <w:pPr>
        <w:spacing w:before="2" w:after="0" w:line="185" w:lineRule="auto"/>
        <w:ind w:left="2297" w:right="18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升级－Intertuf</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262/Intertuf</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263可用于升级现有环氧、煤焦油环氧和氯化橡胶涂料。请向国际油漆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咨询。</w:t>
      </w:r>
    </w:p>
    <w:p>
      <w:pPr>
        <w:spacing w:before="0" w:after="0" w:line="22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不适于升级的底材：-</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乙烯焦油、无焦油乙烯、沥青。</w:t>
      </w:r>
    </w:p>
    <w:p>
      <w:pPr>
        <w:spacing w:before="0" w:after="0" w:line="200" w:lineRule="exact"/>
        <w:jc w:val="left"/>
        <w:rPr>
          <w:sz w:val="20"/>
          <w:szCs w:val="20"/>
        </w:rPr>
      </w:pPr>
      <w:r>
        <w:rPr>
          <w:sz w:val="20"/>
          <w:szCs w:val="20"/>
        </w:rPr>
      </w:r>
    </w:p>
    <w:p>
      <w:pPr>
        <w:spacing w:before="19" w:after="0" w:line="200" w:lineRule="exact"/>
        <w:jc w:val="left"/>
        <w:rPr>
          <w:sz w:val="20"/>
          <w:szCs w:val="20"/>
        </w:rPr>
      </w:pPr>
      <w:r>
        <w:rPr>
          <w:sz w:val="20"/>
          <w:szCs w:val="20"/>
        </w:rPr>
      </w:r>
    </w:p>
    <w:p>
      <w:pPr>
        <w:spacing w:before="0" w:after="0" w:line="185" w:lineRule="auto"/>
        <w:ind w:left="2297" w:right="24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复涂数据仅作指导之用，应视当地的气候和环境条件而定。有关特殊建议，请向贵处的国际油漆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代表咨询。</w:t>
      </w:r>
    </w:p>
    <w:p>
      <w:pPr>
        <w:spacing w:before="0" w:after="0" w:line="185" w:lineRule="auto"/>
        <w:ind w:left="2297" w:right="241"/>
        <w:jc w:val="left"/>
        <w:rPr>
          <w:rFonts w:ascii="Arial Unicode MS" w:hAnsi="Arial Unicode MS" w:cs="Arial Unicode MS" w:eastAsia="Arial Unicode MS"/>
          <w:sz w:val="16"/>
          <w:szCs w:val="16"/>
        </w:rPr>
      </w:pPr>
      <w:r>
        <w:rPr/>
        <w:pict>
          <v:group style="position:absolute;margin-left:145.850006pt;margin-top:80.733879pt;width:417.6pt;height:.1pt;mso-position-horizontal-relative:page;mso-position-vertical-relative:paragraph;z-index:-567" coordorigin="2917,1615" coordsize="8352,2">
            <v:shape style="position:absolute;left:2917;top:1615;width:8352;height:2" coordorigin="2917,1615" coordsize="8352,0" path="m2917,1615l11269,1615e" filled="f" stroked="t" strokeweight="1.5pt" strokecolor="#000000">
              <v:path arrowok="t"/>
            </v:shape>
            <w10:wrap type="none"/>
          </v:group>
        </w:pict>
      </w:r>
      <w:r>
        <w:rPr>
          <w:rFonts w:ascii="Arial Unicode MS" w:hAnsi="Arial Unicode MS" w:cs="Arial Unicode MS" w:eastAsia="Arial Unicode MS"/>
          <w:spacing w:val="0"/>
          <w:w w:val="100"/>
          <w:sz w:val="16"/>
          <w:szCs w:val="16"/>
        </w:rPr>
        <w:t>如在韩国施工(包括</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Interthane</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989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的无限期涂装间隔)，请向贵处的国际油漆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在好天气下施工。待涂表面的温度必须至少高于露点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3°C。除非另有特殊指令，为达到最佳施工性能，在混合和施工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前，将涂料温度提升到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21-27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°C之间。未混合的涂料（在盖紧的容器中）应按该产品说明书“贮存”一节中规定的方式</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进行保护性贮存。此处提及的技术和施工数据之目的，是为制定一个涂料施工程序的总则。测试性能结果来自于受控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的实验室环境，国际油漆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(InternationalPaint)</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并不声称所公布的测试结果，或任何其它测试，精确代表所有现场环境</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99"/>
          <w:sz w:val="16"/>
          <w:szCs w:val="16"/>
        </w:rPr>
        <w:t>中所得到的结果。由于施工应用,</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环境和设计参数变化很大，所以在进行涂料选择、性能证实或使用时应十分小心谨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慎。</w:t>
      </w:r>
    </w:p>
    <w:p>
      <w:pPr>
        <w:spacing w:before="3" w:after="0" w:line="280" w:lineRule="exact"/>
        <w:jc w:val="left"/>
        <w:rPr>
          <w:sz w:val="28"/>
          <w:szCs w:val="28"/>
        </w:rPr>
      </w:pPr>
      <w:r>
        <w:rPr>
          <w:sz w:val="28"/>
          <w:szCs w:val="28"/>
        </w:rPr>
      </w:r>
    </w:p>
    <w:p>
      <w:pPr>
        <w:spacing w:before="0" w:after="0" w:line="280" w:lineRule="exact"/>
        <w:ind w:left="137" w:right="-20"/>
        <w:jc w:val="left"/>
        <w:rPr>
          <w:rFonts w:ascii="Arial Unicode MS" w:hAnsi="Arial Unicode MS" w:cs="Arial Unicode MS" w:eastAsia="Arial Unicode MS"/>
          <w:sz w:val="22"/>
          <w:szCs w:val="22"/>
        </w:rPr>
      </w:pPr>
      <w:r>
        <w:rPr/>
        <w:pict>
          <v:group style="position:absolute;margin-left:37.849998pt;margin-top:2.319346pt;width:522.75pt;height:64.1217pt;mso-position-horizontal-relative:page;mso-position-vertical-relative:paragraph;z-index:-566" coordorigin="757,46" coordsize="10455,1282">
            <v:shape style="position:absolute;left:757;top:46;width:10455;height:1282" coordorigin="757,46" coordsize="10455,1282" path="m757,1329l11212,1329,11212,46,757,46,757,1329xe" filled="t" fillcolor="#D2D2D2" stroked="f">
              <v:path arrowok="t"/>
              <v:fill/>
            </v:shape>
            <w10:wrap type="none"/>
          </v:group>
        </w:pict>
      </w:r>
      <w:r>
        <w:rPr/>
        <w:pict>
          <v:shape style="position:absolute;margin-left:166.5pt;margin-top:2.319346pt;width:394.1pt;height:47.171616pt;mso-position-horizontal-relative:page;mso-position-vertical-relative:paragraph;z-index:-562"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169" w:hRule="exact"/>
                    </w:trPr>
                    <w:tc>
                      <w:tcPr>
                        <w:tcW w:w="959"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包装规格</w:t>
                        </w:r>
                        <w:r>
                          <w:rPr>
                            <w:rFonts w:ascii="Arial Unicode MS" w:hAnsi="Arial Unicode MS" w:cs="Arial Unicode MS" w:eastAsia="Arial Unicode MS"/>
                            <w:spacing w:val="0"/>
                            <w:w w:val="100"/>
                            <w:position w:val="0"/>
                            <w:sz w:val="14"/>
                            <w:szCs w:val="14"/>
                          </w:rPr>
                        </w:r>
                      </w:p>
                    </w:tc>
                    <w:tc>
                      <w:tcPr>
                        <w:tcW w:w="1191"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73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甲组份</w:t>
                        </w:r>
                        <w:r>
                          <w:rPr>
                            <w:rFonts w:ascii="Arial Unicode MS" w:hAnsi="Arial Unicode MS" w:cs="Arial Unicode MS" w:eastAsia="Arial Unicode MS"/>
                            <w:spacing w:val="0"/>
                            <w:w w:val="100"/>
                            <w:position w:val="0"/>
                            <w:sz w:val="14"/>
                            <w:szCs w:val="14"/>
                          </w:rPr>
                        </w:r>
                      </w:p>
                    </w:tc>
                    <w:tc>
                      <w:tcPr>
                        <w:tcW w:w="898" w:type="dxa"/>
                        <w:tcBorders>
                          <w:top w:val="nil" w:sz="6" w:space="0" w:color="auto"/>
                          <w:left w:val="nil" w:sz="6" w:space="0" w:color="auto"/>
                          <w:bottom w:val="nil" w:sz="6" w:space="0" w:color="auto"/>
                          <w:right w:val="nil" w:sz="6" w:space="0" w:color="auto"/>
                        </w:tcBorders>
                        <w:shd w:val="clear" w:color="auto" w:fill="D2D2D2"/>
                      </w:tcPr>
                      <w:p>
                        <w:pPr/>
                      </w:p>
                    </w:tc>
                    <w:tc>
                      <w:tcPr>
                        <w:tcW w:w="1135"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66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乙组份</w:t>
                        </w:r>
                        <w:r>
                          <w:rPr>
                            <w:rFonts w:ascii="Arial Unicode MS" w:hAnsi="Arial Unicode MS" w:cs="Arial Unicode MS" w:eastAsia="Arial Unicode MS"/>
                            <w:spacing w:val="0"/>
                            <w:w w:val="100"/>
                            <w:position w:val="0"/>
                            <w:sz w:val="14"/>
                            <w:szCs w:val="14"/>
                          </w:rPr>
                        </w:r>
                      </w:p>
                    </w:tc>
                    <w:tc>
                      <w:tcPr>
                        <w:tcW w:w="3700" w:type="dxa"/>
                        <w:tcBorders>
                          <w:top w:val="nil" w:sz="6" w:space="0" w:color="auto"/>
                          <w:left w:val="nil" w:sz="6" w:space="0" w:color="auto"/>
                          <w:bottom w:val="nil" w:sz="6" w:space="0" w:color="auto"/>
                          <w:right w:val="nil" w:sz="6" w:space="0" w:color="auto"/>
                        </w:tcBorders>
                        <w:shd w:val="clear" w:color="auto" w:fill="D2D2D2"/>
                      </w:tcPr>
                      <w:p>
                        <w:pPr/>
                      </w:p>
                    </w:tc>
                  </w:tr>
                  <w:tr>
                    <w:trPr>
                      <w:trHeight w:val="225" w:hRule="exact"/>
                    </w:trPr>
                    <w:tc>
                      <w:tcPr>
                        <w:tcW w:w="959" w:type="dxa"/>
                        <w:tcBorders>
                          <w:top w:val="nil" w:sz="6" w:space="0" w:color="auto"/>
                          <w:left w:val="nil" w:sz="6" w:space="0" w:color="auto"/>
                          <w:bottom w:val="nil" w:sz="6" w:space="0" w:color="auto"/>
                          <w:right w:val="nil" w:sz="6" w:space="0" w:color="auto"/>
                        </w:tcBorders>
                        <w:shd w:val="clear" w:color="auto" w:fill="D2D2D2"/>
                      </w:tcPr>
                      <w:p>
                        <w:pPr/>
                      </w:p>
                    </w:tc>
                    <w:tc>
                      <w:tcPr>
                        <w:tcW w:w="1191"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406" w:right="424"/>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898"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c>
                      <w:tcPr>
                        <w:tcW w:w="1135"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59" w:right="414"/>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tc>
                    <w:tc>
                      <w:tcPr>
                        <w:tcW w:w="3700"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1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tc>
                  </w:tr>
                  <w:tr>
                    <w:trPr>
                      <w:trHeight w:val="550" w:hRule="exact"/>
                    </w:trPr>
                    <w:tc>
                      <w:tcPr>
                        <w:tcW w:w="959"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7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4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c>
                      <w:tcPr>
                        <w:tcW w:w="1191"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38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16</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3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c>
                      <w:tcPr>
                        <w:tcW w:w="898"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6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3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c>
                      <w:tcPr>
                        <w:tcW w:w="1135"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3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4</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32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c>
                      <w:tcPr>
                        <w:tcW w:w="3700" w:type="dxa"/>
                        <w:tcBorders>
                          <w:top w:val="nil" w:sz="6" w:space="0" w:color="auto"/>
                          <w:left w:val="nil" w:sz="6" w:space="0" w:color="auto"/>
                          <w:bottom w:val="nil" w:sz="6" w:space="0" w:color="auto"/>
                          <w:right w:val="nil" w:sz="6" w:space="0" w:color="auto"/>
                        </w:tcBorders>
                        <w:shd w:val="clear" w:color="auto" w:fill="D2D2D2"/>
                      </w:tcPr>
                      <w:p>
                        <w:pPr>
                          <w:spacing w:before="0" w:after="0" w:line="215" w:lineRule="exact"/>
                          <w:ind w:left="12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5</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r>
                        <w:r>
                          <w:rPr>
                            <w:rFonts w:ascii="Arial Unicode MS" w:hAnsi="Arial Unicode MS" w:cs="Arial Unicode MS" w:eastAsia="Arial Unicode MS"/>
                            <w:spacing w:val="0"/>
                            <w:w w:val="100"/>
                            <w:position w:val="0"/>
                            <w:sz w:val="14"/>
                            <w:szCs w:val="14"/>
                          </w:rPr>
                        </w:r>
                      </w:p>
                      <w:p>
                        <w:pPr>
                          <w:spacing w:before="2" w:after="0" w:line="240" w:lineRule="auto"/>
                          <w:ind w:left="5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美加仑</w:t>
                        </w:r>
                      </w:p>
                    </w:tc>
                  </w:tr>
                </w:tbl>
                <w:p>
                  <w:pPr>
                    <w:spacing w:before="0" w:after="0" w:line="240" w:lineRule="auto"/>
                    <w:jc w:val="left"/>
                  </w:pPr>
                </w:p>
              </w:txbxContent>
            </v:textbox>
            <w10:wrap type="none"/>
          </v:shape>
        </w:pict>
      </w:r>
      <w:r>
        <w:rPr>
          <w:rFonts w:ascii="Arial Unicode MS" w:hAnsi="Arial Unicode MS" w:cs="Arial Unicode MS" w:eastAsia="Arial Unicode MS"/>
          <w:spacing w:val="0"/>
          <w:w w:val="100"/>
          <w:position w:val="0"/>
          <w:sz w:val="22"/>
          <w:szCs w:val="22"/>
        </w:rPr>
        <w:t>包装规格</w:t>
      </w:r>
      <w:r>
        <w:rPr>
          <w:rFonts w:ascii="Arial Unicode MS" w:hAnsi="Arial Unicode MS" w:cs="Arial Unicode MS" w:eastAsia="Arial Unicode MS"/>
          <w:spacing w:val="0"/>
          <w:w w:val="100"/>
          <w:position w:val="0"/>
          <w:sz w:val="22"/>
          <w:szCs w:val="22"/>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5" w:after="0" w:line="200" w:lineRule="exact"/>
        <w:jc w:val="left"/>
        <w:rPr>
          <w:sz w:val="20"/>
          <w:szCs w:val="20"/>
        </w:rPr>
      </w:pPr>
      <w:r>
        <w:rPr>
          <w:sz w:val="20"/>
          <w:szCs w:val="20"/>
        </w:rPr>
      </w:r>
    </w:p>
    <w:p>
      <w:pPr>
        <w:spacing w:before="0" w:after="0" w:line="215" w:lineRule="exact"/>
        <w:ind w:left="22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99"/>
          <w:position w:val="0"/>
          <w:sz w:val="14"/>
          <w:szCs w:val="14"/>
        </w:rPr>
        <w:t>有关其它包装尺寸，请向国际油漆</w:t>
      </w:r>
      <w:r>
        <w:rPr>
          <w:rFonts w:ascii="Arial Unicode MS" w:hAnsi="Arial Unicode MS" w:cs="Arial Unicode MS" w:eastAsia="Arial Unicode MS"/>
          <w:spacing w:val="0"/>
          <w:w w:val="99"/>
          <w:position w:val="0"/>
          <w:sz w:val="14"/>
          <w:szCs w:val="14"/>
        </w:rPr>
        <w:t> </w:t>
      </w:r>
      <w:r>
        <w:rPr>
          <w:rFonts w:ascii="Arial Unicode MS" w:hAnsi="Arial Unicode MS" w:cs="Arial Unicode MS" w:eastAsia="Arial Unicode MS"/>
          <w:spacing w:val="0"/>
          <w:w w:val="100"/>
          <w:position w:val="0"/>
          <w:sz w:val="14"/>
          <w:szCs w:val="14"/>
        </w:rPr>
        <w:t>(International</w:t>
      </w:r>
      <w:r>
        <w:rPr>
          <w:rFonts w:ascii="Arial Unicode MS" w:hAnsi="Arial Unicode MS" w:cs="Arial Unicode MS" w:eastAsia="Arial Unicode MS"/>
          <w:spacing w:val="-8"/>
          <w:w w:val="100"/>
          <w:position w:val="0"/>
          <w:sz w:val="14"/>
          <w:szCs w:val="14"/>
        </w:rPr>
        <w:t> </w:t>
      </w:r>
      <w:r>
        <w:rPr>
          <w:rFonts w:ascii="Arial Unicode MS" w:hAnsi="Arial Unicode MS" w:cs="Arial Unicode MS" w:eastAsia="Arial Unicode MS"/>
          <w:spacing w:val="0"/>
          <w:w w:val="100"/>
          <w:position w:val="0"/>
          <w:sz w:val="14"/>
          <w:szCs w:val="14"/>
        </w:rPr>
        <w:t>Paint)</w:t>
      </w:r>
      <w:r>
        <w:rPr>
          <w:rFonts w:ascii="Arial Unicode MS" w:hAnsi="Arial Unicode MS" w:cs="Arial Unicode MS" w:eastAsia="Arial Unicode MS"/>
          <w:spacing w:val="-4"/>
          <w:w w:val="100"/>
          <w:position w:val="0"/>
          <w:sz w:val="14"/>
          <w:szCs w:val="14"/>
        </w:rPr>
        <w:t> </w:t>
      </w:r>
      <w:r>
        <w:rPr>
          <w:rFonts w:ascii="Arial Unicode MS" w:hAnsi="Arial Unicode MS" w:cs="Arial Unicode MS" w:eastAsia="Arial Unicode MS"/>
          <w:spacing w:val="0"/>
          <w:w w:val="100"/>
          <w:position w:val="0"/>
          <w:sz w:val="14"/>
          <w:szCs w:val="14"/>
        </w:rPr>
        <w:t>咨询。</w:t>
      </w:r>
      <w:r>
        <w:rPr>
          <w:rFonts w:ascii="Arial Unicode MS" w:hAnsi="Arial Unicode MS" w:cs="Arial Unicode MS" w:eastAsia="Arial Unicode MS"/>
          <w:spacing w:val="0"/>
          <w:w w:val="100"/>
          <w:position w:val="0"/>
          <w:sz w:val="14"/>
          <w:szCs w:val="14"/>
        </w:rPr>
      </w:r>
    </w:p>
    <w:p>
      <w:pPr>
        <w:tabs>
          <w:tab w:pos="2740" w:val="left"/>
          <w:tab w:pos="4540" w:val="left"/>
        </w:tabs>
        <w:spacing w:before="8" w:after="0" w:line="240" w:lineRule="auto"/>
        <w:ind w:left="137" w:right="-20"/>
        <w:jc w:val="left"/>
        <w:rPr>
          <w:rFonts w:ascii="Arial Unicode MS" w:hAnsi="Arial Unicode MS" w:cs="Arial Unicode MS" w:eastAsia="Arial Unicode MS"/>
          <w:sz w:val="14"/>
          <w:szCs w:val="14"/>
        </w:rPr>
      </w:pPr>
      <w:r>
        <w:rPr/>
        <w:pict>
          <v:group style="position:absolute;margin-left:37.849998pt;margin-top:6.95538pt;width:522.75pt;height:40.8857pt;mso-position-horizontal-relative:page;mso-position-vertical-relative:paragraph;z-index:-565" coordorigin="757,139" coordsize="10455,818">
            <v:shape style="position:absolute;left:757;top:139;width:10455;height:818" coordorigin="757,139" coordsize="10455,818" path="m757,957l11212,957,11212,139,757,139,757,957xe" filled="t" fillcolor="#D2D2D2" stroked="f">
              <v:path arrowok="t"/>
              <v:fill/>
            </v:shape>
            <w10:wrap type="none"/>
          </v:group>
        </w:pict>
      </w:r>
      <w:r>
        <w:rPr>
          <w:rFonts w:ascii="Arial Unicode MS" w:hAnsi="Arial Unicode MS" w:cs="Arial Unicode MS" w:eastAsia="Arial Unicode MS"/>
          <w:spacing w:val="0"/>
          <w:w w:val="100"/>
          <w:position w:val="-6"/>
          <w:sz w:val="22"/>
          <w:szCs w:val="22"/>
        </w:rPr>
        <w:t>单位装运重量</w:t>
        <w:tab/>
      </w:r>
      <w:r>
        <w:rPr>
          <w:rFonts w:ascii="Arial Unicode MS" w:hAnsi="Arial Unicode MS" w:cs="Arial Unicode MS" w:eastAsia="Arial Unicode MS"/>
          <w:spacing w:val="0"/>
          <w:w w:val="100"/>
          <w:position w:val="-6"/>
          <w:sz w:val="22"/>
          <w:szCs w:val="22"/>
        </w:rPr>
      </w:r>
      <w:r>
        <w:rPr>
          <w:rFonts w:ascii="Arial Unicode MS" w:hAnsi="Arial Unicode MS" w:cs="Arial Unicode MS" w:eastAsia="Arial Unicode MS"/>
          <w:spacing w:val="0"/>
          <w:w w:val="100"/>
          <w:position w:val="0"/>
          <w:sz w:val="14"/>
          <w:szCs w:val="14"/>
        </w:rPr>
        <w:t>包装规格</w:t>
        <w:tab/>
      </w:r>
      <w:r>
        <w:rPr>
          <w:rFonts w:ascii="Arial Unicode MS" w:hAnsi="Arial Unicode MS" w:cs="Arial Unicode MS" w:eastAsia="Arial Unicode MS"/>
          <w:spacing w:val="0"/>
          <w:w w:val="100"/>
          <w:position w:val="0"/>
          <w:sz w:val="14"/>
          <w:szCs w:val="14"/>
        </w:rPr>
        <w:t>包装重量</w:t>
      </w:r>
    </w:p>
    <w:p>
      <w:pPr>
        <w:tabs>
          <w:tab w:pos="4500" w:val="left"/>
        </w:tabs>
        <w:spacing w:before="0" w:after="0" w:line="178"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tab/>
      </w:r>
      <w:r>
        <w:rPr>
          <w:rFonts w:ascii="Arial Unicode MS" w:hAnsi="Arial Unicode MS" w:cs="Arial Unicode MS" w:eastAsia="Arial Unicode MS"/>
          <w:spacing w:val="0"/>
          <w:w w:val="100"/>
          <w:sz w:val="14"/>
          <w:szCs w:val="14"/>
        </w:rPr>
        <w:t>30.44</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千克</w:t>
      </w:r>
    </w:p>
    <w:p>
      <w:pPr>
        <w:tabs>
          <w:tab w:pos="4600" w:val="left"/>
        </w:tabs>
        <w:spacing w:before="2" w:after="0" w:line="233" w:lineRule="exact"/>
        <w:ind w:left="275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5</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美加仑</w:t>
        <w:tab/>
      </w:r>
      <w:r>
        <w:rPr>
          <w:rFonts w:ascii="Arial Unicode MS" w:hAnsi="Arial Unicode MS" w:cs="Arial Unicode MS" w:eastAsia="Arial Unicode MS"/>
          <w:spacing w:val="0"/>
          <w:w w:val="100"/>
          <w:position w:val="-1"/>
          <w:sz w:val="14"/>
          <w:szCs w:val="14"/>
        </w:rPr>
        <w:t>61.8</w:t>
      </w:r>
      <w:r>
        <w:rPr>
          <w:rFonts w:ascii="Arial Unicode MS" w:hAnsi="Arial Unicode MS" w:cs="Arial Unicode MS" w:eastAsia="Arial Unicode MS"/>
          <w:spacing w:val="-3"/>
          <w:w w:val="100"/>
          <w:position w:val="-1"/>
          <w:sz w:val="14"/>
          <w:szCs w:val="14"/>
        </w:rPr>
        <w:t> </w:t>
      </w:r>
      <w:r>
        <w:rPr>
          <w:rFonts w:ascii="Arial Unicode MS" w:hAnsi="Arial Unicode MS" w:cs="Arial Unicode MS" w:eastAsia="Arial Unicode MS"/>
          <w:spacing w:val="0"/>
          <w:w w:val="100"/>
          <w:position w:val="-1"/>
          <w:sz w:val="14"/>
          <w:szCs w:val="14"/>
        </w:rPr>
        <w:t>磅</w:t>
      </w:r>
      <w:r>
        <w:rPr>
          <w:rFonts w:ascii="Arial Unicode MS" w:hAnsi="Arial Unicode MS" w:cs="Arial Unicode MS" w:eastAsia="Arial Unicode MS"/>
          <w:spacing w:val="0"/>
          <w:w w:val="100"/>
          <w:position w:val="0"/>
          <w:sz w:val="14"/>
          <w:szCs w:val="14"/>
        </w:rPr>
      </w:r>
    </w:p>
    <w:p>
      <w:pPr>
        <w:spacing w:before="14" w:after="0" w:line="200" w:lineRule="exact"/>
        <w:jc w:val="left"/>
        <w:rPr>
          <w:sz w:val="20"/>
          <w:szCs w:val="20"/>
        </w:rPr>
      </w:pPr>
      <w:r>
        <w:rPr>
          <w:sz w:val="20"/>
          <w:szCs w:val="20"/>
        </w:rPr>
      </w:r>
    </w:p>
    <w:p>
      <w:pPr>
        <w:tabs>
          <w:tab w:pos="2320" w:val="left"/>
          <w:tab w:pos="3820" w:val="left"/>
        </w:tabs>
        <w:spacing w:before="0" w:after="0" w:line="284" w:lineRule="exact"/>
        <w:ind w:left="137" w:right="-20"/>
        <w:jc w:val="left"/>
        <w:rPr>
          <w:rFonts w:ascii="Arial Unicode MS" w:hAnsi="Arial Unicode MS" w:cs="Arial Unicode MS" w:eastAsia="Arial Unicode MS"/>
          <w:sz w:val="16"/>
          <w:szCs w:val="16"/>
        </w:rPr>
      </w:pPr>
      <w:r>
        <w:rPr/>
        <w:pict>
          <v:group style="position:absolute;margin-left:37.349998pt;margin-top:2.008224pt;width:524.5pt;height:20.982pt;mso-position-horizontal-relative:page;mso-position-vertical-relative:paragraph;z-index:-564" coordorigin="747,40" coordsize="10490,420">
            <v:group style="position:absolute;left:757;top:50;width:10470;height:400" coordorigin="757,50" coordsize="10470,400">
              <v:shape style="position:absolute;left:757;top:50;width:10470;height:400" coordorigin="757,50" coordsize="10470,400" path="m757,450l11227,450,11227,50,757,50,757,450xe" filled="t" fillcolor="#D2D2D2" stroked="f">
                <v:path arrowok="t"/>
                <v:fill/>
              </v:shape>
            </v:group>
            <v:group style="position:absolute;left:2917;top:435;width:8280;height:2" coordorigin="2917,435" coordsize="8280,2">
              <v:shape style="position:absolute;left:2917;top:435;width:8280;height:2" coordorigin="2917,435" coordsize="8280,0" path="m2917,435l11197,435e" filled="f" stroked="t" strokeweight="1.5pt" strokecolor="#000000">
                <v:path arrowok="t"/>
              </v:shape>
            </v:group>
            <w10:wrap type="none"/>
          </v:group>
        </w:pict>
      </w:r>
      <w:r>
        <w:rPr>
          <w:rFonts w:ascii="Arial Unicode MS" w:hAnsi="Arial Unicode MS" w:cs="Arial Unicode MS" w:eastAsia="Arial Unicode MS"/>
          <w:spacing w:val="0"/>
          <w:w w:val="100"/>
          <w:position w:val="0"/>
          <w:sz w:val="22"/>
          <w:szCs w:val="22"/>
        </w:rPr>
        <w:t>贮存</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保存期限</w:t>
        <w:tab/>
      </w:r>
      <w:r>
        <w:rPr>
          <w:rFonts w:ascii="Arial Unicode MS" w:hAnsi="Arial Unicode MS" w:cs="Arial Unicode MS" w:eastAsia="Arial Unicode MS"/>
          <w:spacing w:val="0"/>
          <w:w w:val="100"/>
          <w:position w:val="4"/>
          <w:sz w:val="16"/>
          <w:szCs w:val="16"/>
        </w:rPr>
        <w:t>在</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时，最短为</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12</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个月。此后需复查。贮存于干燥遮蔽之处，远离热源及火种。</w:t>
      </w:r>
      <w:r>
        <w:rPr>
          <w:rFonts w:ascii="Arial Unicode MS" w:hAnsi="Arial Unicode MS" w:cs="Arial Unicode MS" w:eastAsia="Arial Unicode MS"/>
          <w:spacing w:val="0"/>
          <w:w w:val="100"/>
          <w:position w:val="0"/>
          <w:sz w:val="16"/>
          <w:szCs w:val="16"/>
        </w:rPr>
      </w:r>
    </w:p>
    <w:p>
      <w:pPr>
        <w:spacing w:before="3" w:after="0" w:line="140" w:lineRule="exact"/>
        <w:jc w:val="left"/>
        <w:rPr>
          <w:sz w:val="14"/>
          <w:szCs w:val="14"/>
        </w:rPr>
      </w:pPr>
      <w:r>
        <w:rPr>
          <w:sz w:val="14"/>
          <w:szCs w:val="14"/>
        </w:rPr>
      </w:r>
    </w:p>
    <w:p>
      <w:pPr>
        <w:spacing w:before="0" w:after="0" w:line="200" w:lineRule="exact"/>
        <w:jc w:val="left"/>
        <w:rPr>
          <w:sz w:val="20"/>
          <w:szCs w:val="20"/>
        </w:rPr>
      </w:pPr>
      <w:r>
        <w:rPr>
          <w:sz w:val="20"/>
          <w:szCs w:val="20"/>
        </w:rPr>
      </w:r>
    </w:p>
    <w:p>
      <w:pPr>
        <w:spacing w:line="200" w:lineRule="exact" w:after="0"/>
        <w:jc w:val="left"/>
        <w:rPr>
          <w:sz w:val="20"/>
          <w:szCs w:val="20"/>
        </w:rPr>
        <w:sectPr>
          <w:pgSz w:w="11900" w:h="16820"/>
          <w:pgMar w:header="299" w:footer="1582" w:top="1040" w:bottom="1780" w:left="620" w:right="520"/>
        </w:sectPr>
      </w:pPr>
    </w:p>
    <w:p>
      <w:pPr>
        <w:spacing w:before="0" w:after="0" w:line="299" w:lineRule="exact"/>
        <w:ind w:left="11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全球供应情况</w:t>
      </w:r>
    </w:p>
    <w:p>
      <w:pPr>
        <w:spacing w:before="7" w:after="0" w:line="185" w:lineRule="auto"/>
        <w:ind w:right="2822"/>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FAJ035</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浅黄色在北美无法买到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其它颜色的涂料只在特定的国家供应，可向国际油漆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Paint)咨询。</w:t>
      </w:r>
      <w:r>
        <w:rPr>
          <w:rFonts w:ascii="Arial Unicode MS" w:hAnsi="Arial Unicode MS" w:cs="Arial Unicode MS" w:eastAsia="Arial Unicode MS"/>
          <w:spacing w:val="0"/>
          <w:w w:val="100"/>
          <w:sz w:val="16"/>
          <w:szCs w:val="16"/>
        </w:rPr>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438" w:space="840"/>
            <w:col w:w="8482"/>
          </w:cols>
        </w:sectPr>
      </w:pPr>
    </w:p>
    <w:p>
      <w:pPr>
        <w:spacing w:before="3" w:after="0" w:line="180" w:lineRule="exact"/>
        <w:jc w:val="left"/>
        <w:rPr>
          <w:sz w:val="18"/>
          <w:szCs w:val="18"/>
        </w:rPr>
      </w:pPr>
      <w:r>
        <w:rPr>
          <w:sz w:val="18"/>
          <w:szCs w:val="18"/>
        </w:rPr>
      </w:r>
    </w:p>
    <w:p>
      <w:pPr>
        <w:spacing w:line="180" w:lineRule="exact" w:after="0"/>
        <w:jc w:val="left"/>
        <w:rPr>
          <w:sz w:val="18"/>
          <w:szCs w:val="18"/>
        </w:rPr>
        <w:sectPr>
          <w:type w:val="continuous"/>
          <w:pgSz w:w="11900" w:h="16820"/>
          <w:pgMar w:top="1040" w:bottom="1780" w:left="620" w:right="520"/>
        </w:sectPr>
      </w:pPr>
    </w:p>
    <w:p>
      <w:pPr>
        <w:spacing w:before="0" w:after="0" w:line="306" w:lineRule="exact"/>
        <w:ind w:left="117" w:right="-73"/>
        <w:jc w:val="left"/>
        <w:rPr>
          <w:rFonts w:ascii="Arial Unicode MS" w:hAnsi="Arial Unicode MS" w:cs="Arial Unicode MS" w:eastAsia="Arial Unicode MS"/>
          <w:sz w:val="22"/>
          <w:szCs w:val="22"/>
        </w:rPr>
      </w:pPr>
      <w:r>
        <w:rPr/>
        <w:pict>
          <v:group style="position:absolute;margin-left:144.860001pt;margin-top:-3.418096pt;width:414pt;height:.1pt;mso-position-horizontal-relative:page;mso-position-vertical-relative:paragraph;z-index:-563" coordorigin="2897,-68" coordsize="8280,2">
            <v:shape style="position:absolute;left:2897;top:-68;width:8280;height:2" coordorigin="2897,-68" coordsize="8280,0" path="m2897,-68l11177,-68e" filled="f" stroked="t" strokeweight="1.5pt" strokecolor="#000000">
              <v:path arrowok="t"/>
            </v:shape>
            <w10:wrap type="none"/>
          </v:group>
        </w:pict>
      </w:r>
      <w:r>
        <w:rPr>
          <w:rFonts w:ascii="Arial Unicode MS" w:hAnsi="Arial Unicode MS" w:cs="Arial Unicode MS" w:eastAsia="Arial Unicode MS"/>
          <w:spacing w:val="0"/>
          <w:w w:val="100"/>
          <w:sz w:val="22"/>
          <w:szCs w:val="22"/>
        </w:rPr>
        <w:t>重要声明</w:t>
      </w:r>
    </w:p>
    <w:p>
      <w:pPr>
        <w:spacing w:before="24" w:after="0" w:line="185" w:lineRule="auto"/>
        <w:ind w:left="6" w:right="272"/>
        <w:jc w:val="left"/>
        <w:rPr>
          <w:rFonts w:ascii="Arial Unicode MS" w:hAnsi="Arial Unicode MS" w:cs="Arial Unicode MS" w:eastAsia="Arial Unicode MS"/>
          <w:sz w:val="12"/>
          <w:szCs w:val="12"/>
        </w:rPr>
      </w:pPr>
      <w:r>
        <w:rPr/>
        <w:br w:type="column"/>
      </w:r>
      <w:r>
        <w:rPr>
          <w:rFonts w:ascii="Arial Unicode MS" w:hAnsi="Arial Unicode MS" w:cs="Arial Unicode MS" w:eastAsia="Arial Unicode MS"/>
          <w:spacing w:val="0"/>
          <w:w w:val="100"/>
          <w:sz w:val="12"/>
          <w:szCs w:val="12"/>
        </w:rPr>
        <w:t>该产品说明书中所提供的资料并非详尽无遗，任何人因任何原因，未首先经我们书面确认而使用本说明书特别推荐以外的任何产品，则自行承担产品对其预</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期目的适用性这一风险。虽然我们竭力保证我们对产品所提供的所有建议(无论在本说明书中或以其它方式提供的)均正确无误，但我们无法控制底材的质量</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或状况或影响该产品施工和使用的多种因素。因此，除非我们特地书面同意这种做法，否则我们对于所产生的任何产品性能问题不负责任，或因使用产品而</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导致的损失或损坏在法律允许的最大范围内概不负责。</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所有供应的产品及提供的技术指导隶属于我们的标准销售条款和条件。您应获取本文件的副本并仔</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细阅读。该产品说明书所包含资料将根据经验及我们不断开发产品的政策随时进行修改。</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在使用产品前，与当地“国际油漆代表”一起检查所持产品说明书为</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最新版本是用户的职责。</w:t>
      </w:r>
      <w:r>
        <w:rPr>
          <w:rFonts w:ascii="Arial Unicode MS" w:hAnsi="Arial Unicode MS" w:cs="Arial Unicode MS" w:eastAsia="Arial Unicode MS"/>
          <w:spacing w:val="0"/>
          <w:w w:val="100"/>
          <w:sz w:val="12"/>
          <w:szCs w:val="12"/>
        </w:rPr>
      </w:r>
    </w:p>
    <w:p>
      <w:pPr>
        <w:spacing w:before="1" w:after="0" w:line="120" w:lineRule="exact"/>
        <w:jc w:val="left"/>
        <w:rPr>
          <w:sz w:val="12"/>
          <w:szCs w:val="12"/>
        </w:rPr>
      </w:pPr>
      <w:r>
        <w:rPr>
          <w:sz w:val="12"/>
          <w:szCs w:val="12"/>
        </w:rPr>
      </w:r>
    </w:p>
    <w:p>
      <w:pPr>
        <w:spacing w:before="0" w:after="0" w:line="240" w:lineRule="auto"/>
        <w:ind w:right="-20"/>
        <w:jc w:val="left"/>
        <w:rPr>
          <w:rFonts w:ascii="Arial Unicode MS" w:hAnsi="Arial Unicode MS" w:cs="Arial Unicode MS" w:eastAsia="Arial Unicode MS"/>
          <w:sz w:val="12"/>
          <w:szCs w:val="12"/>
        </w:rPr>
      </w:pPr>
      <w:r>
        <w:rPr/>
        <w:pict>
          <v:shape style="width:58.54pt;height:7pt;mso-position-horizontal-relative:char;mso-position-vertical-relative:line" type="#_x0000_t75">
            <v:imagedata r:id="rId9" o:title=""/>
          </v:shape>
        </w:pict>
      </w:r>
      <w:r>
        <w:rPr>
          <w:rFonts w:ascii="Arial Unicode MS" w:hAnsi="Arial Unicode MS" w:cs="Arial Unicode MS" w:eastAsia="Arial Unicode MS"/>
          <w:spacing w:val="0"/>
          <w:w w:val="100"/>
          <w:position w:val="0"/>
          <w:sz w:val="12"/>
          <w:szCs w:val="12"/>
        </w:rPr>
        <w:t>以及所有本产品说明书中提到的产品名称均为AkzoNobel（阿克苏诺贝尔）之商标或已许可给AkzoNobel（阿克苏诺贝尔）。</w:t>
      </w:r>
      <w:r>
        <w:rPr>
          <w:rFonts w:ascii="Arial Unicode MS" w:hAnsi="Arial Unicode MS" w:cs="Arial Unicode MS" w:eastAsia="Arial Unicode MS"/>
          <w:spacing w:val="0"/>
          <w:w w:val="100"/>
          <w:position w:val="0"/>
          <w:sz w:val="12"/>
          <w:szCs w:val="12"/>
        </w:rPr>
      </w:r>
    </w:p>
    <w:p>
      <w:pPr>
        <w:spacing w:before="9" w:after="0" w:line="110" w:lineRule="exact"/>
        <w:jc w:val="left"/>
        <w:rPr>
          <w:sz w:val="11"/>
          <w:szCs w:val="11"/>
        </w:rPr>
      </w:pPr>
      <w:r>
        <w:rPr>
          <w:sz w:val="11"/>
          <w:szCs w:val="11"/>
        </w:rPr>
      </w:r>
    </w:p>
    <w:p>
      <w:pPr>
        <w:spacing w:before="0" w:after="0" w:line="240" w:lineRule="auto"/>
        <w:ind w:left="6" w:right="-20"/>
        <w:jc w:val="left"/>
        <w:rPr>
          <w:rFonts w:ascii="Arial" w:hAnsi="Arial" w:cs="Arial" w:eastAsia="Arial"/>
          <w:sz w:val="12"/>
          <w:szCs w:val="12"/>
        </w:rPr>
      </w:pPr>
      <w:r>
        <w:rPr>
          <w:rFonts w:ascii="Arial" w:hAnsi="Arial" w:cs="Arial" w:eastAsia="Arial"/>
          <w:b/>
          <w:bCs/>
          <w:spacing w:val="0"/>
          <w:w w:val="100"/>
          <w:sz w:val="12"/>
          <w:szCs w:val="12"/>
        </w:rPr>
        <w:t>©</w:t>
      </w:r>
      <w:r>
        <w:rPr>
          <w:rFonts w:ascii="Arial" w:hAnsi="Arial" w:cs="Arial" w:eastAsia="Arial"/>
          <w:b/>
          <w:bCs/>
          <w:spacing w:val="-1"/>
          <w:w w:val="100"/>
          <w:sz w:val="12"/>
          <w:szCs w:val="12"/>
        </w:rPr>
        <w:t> </w:t>
      </w:r>
      <w:r>
        <w:rPr>
          <w:rFonts w:ascii="Arial" w:hAnsi="Arial" w:cs="Arial" w:eastAsia="Arial"/>
          <w:b/>
          <w:bCs/>
          <w:spacing w:val="0"/>
          <w:w w:val="100"/>
          <w:sz w:val="12"/>
          <w:szCs w:val="12"/>
        </w:rPr>
        <w:t>AkzoNobel,</w:t>
      </w:r>
      <w:r>
        <w:rPr>
          <w:rFonts w:ascii="Arial" w:hAnsi="Arial" w:cs="Arial" w:eastAsia="Arial"/>
          <w:b/>
          <w:bCs/>
          <w:spacing w:val="-8"/>
          <w:w w:val="100"/>
          <w:sz w:val="12"/>
          <w:szCs w:val="12"/>
        </w:rPr>
        <w:t> </w:t>
      </w:r>
      <w:r>
        <w:rPr>
          <w:rFonts w:ascii="Arial" w:hAnsi="Arial" w:cs="Arial" w:eastAsia="Arial"/>
          <w:b/>
          <w:bCs/>
          <w:spacing w:val="0"/>
          <w:w w:val="100"/>
          <w:sz w:val="12"/>
          <w:szCs w:val="12"/>
        </w:rPr>
        <w:t>2009</w:t>
      </w:r>
      <w:r>
        <w:rPr>
          <w:rFonts w:ascii="Arial" w:hAnsi="Arial" w:cs="Arial" w:eastAsia="Arial"/>
          <w:spacing w:val="0"/>
          <w:w w:val="100"/>
          <w:sz w:val="12"/>
          <w:szCs w:val="12"/>
        </w:rPr>
      </w:r>
    </w:p>
    <w:p>
      <w:pPr>
        <w:spacing w:before="27" w:after="0" w:line="240" w:lineRule="auto"/>
        <w:ind w:left="20" w:right="-20"/>
        <w:jc w:val="left"/>
        <w:rPr>
          <w:rFonts w:ascii="Arial" w:hAnsi="Arial" w:cs="Arial" w:eastAsia="Arial"/>
          <w:sz w:val="18"/>
          <w:szCs w:val="18"/>
        </w:rPr>
      </w:pPr>
      <w:r>
        <w:rPr>
          <w:rFonts w:ascii="Arial" w:hAnsi="Arial" w:cs="Arial" w:eastAsia="Arial"/>
          <w:color w:val="0000FF"/>
          <w:sz w:val="18"/>
          <w:szCs w:val="18"/>
        </w:rPr>
      </w:r>
      <w:hyperlink r:id="rId10">
        <w:r>
          <w:rPr>
            <w:rFonts w:ascii="Arial" w:hAnsi="Arial" w:cs="Arial" w:eastAsia="Arial"/>
            <w:color w:val="0000FF"/>
            <w:spacing w:val="0"/>
            <w:w w:val="100"/>
            <w:sz w:val="18"/>
            <w:szCs w:val="18"/>
            <w:u w:val="single" w:color="0000FF"/>
          </w:rPr>
          <w:t>www.international-marine.com</w:t>
        </w:r>
        <w:r>
          <w:rPr>
            <w:rFonts w:ascii="Arial" w:hAnsi="Arial" w:cs="Arial" w:eastAsia="Arial"/>
            <w:color w:val="0000FF"/>
            <w:spacing w:val="0"/>
            <w:w w:val="100"/>
            <w:sz w:val="18"/>
            <w:szCs w:val="18"/>
          </w:rPr>
        </w:r>
        <w:r>
          <w:rPr>
            <w:rFonts w:ascii="Arial" w:hAnsi="Arial" w:cs="Arial" w:eastAsia="Arial"/>
            <w:color w:val="000000"/>
            <w:spacing w:val="0"/>
            <w:w w:val="100"/>
            <w:sz w:val="18"/>
            <w:szCs w:val="18"/>
          </w:rPr>
        </w:r>
      </w:hyperlink>
    </w:p>
    <w:sectPr>
      <w:type w:val="continuous"/>
      <w:pgSz w:w="11900" w:h="16820"/>
      <w:pgMar w:top="1040" w:bottom="1780" w:left="620" w:right="520"/>
      <w:cols w:num="2" w:equalWidth="0">
        <w:col w:w="998" w:space="1274"/>
        <w:col w:w="848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498.23999pt;margin-top:751.900024pt;width:60.22pt;height:72pt;mso-position-horizontal-relative:page;mso-position-vertical-relative:page;z-index:-573" type="#_x0000_t75">
          <v:imagedata r:id="rId1" o:title=""/>
        </v:shape>
      </w:pict>
    </w:r>
    <w:r>
      <w:rPr/>
      <w:pict>
        <v:group style="position:absolute;margin-left:36.860001pt;margin-top:780.25pt;width:455.53pt;height:.1pt;mso-position-horizontal-relative:page;mso-position-vertical-relative:page;z-index:-572" coordorigin="737,15605" coordsize="9111,2">
          <v:shape style="position:absolute;left:737;top:15605;width:9111;height:2" coordorigin="737,15605" coordsize="9111,0" path="m737,15605l9848,15605e" filled="f" stroked="t" strokeweight=".5pt" strokecolor="#A9A9A9">
            <v:path arrowok="t"/>
          </v:shape>
          <w10:wrap type="none"/>
        </v:group>
      </w:pict>
    </w:r>
    <w:r>
      <w:rPr/>
      <w:pict>
        <v:shape style="position:absolute;margin-left:35.857868pt;margin-top:764.050842pt;width:96.309991pt;height:52.800713pt;mso-position-horizontal-relative:page;mso-position-vertical-relative:page;z-index:-571" type="#_x0000_t202" filled="f" stroked="f">
          <v:textbox inset="0,0,0,0">
            <w:txbxContent>
              <w:p>
                <w:pPr>
                  <w:spacing w:before="0" w:after="0" w:line="265" w:lineRule="exact"/>
                  <w:ind w:left="40" w:right="-56"/>
                  <w:jc w:val="left"/>
                  <w:rPr>
                    <w:rFonts w:ascii="Arial" w:hAnsi="Arial" w:cs="Arial" w:eastAsia="Arial"/>
                    <w:sz w:val="24"/>
                    <w:szCs w:val="24"/>
                  </w:rPr>
                </w:pPr>
                <w:r>
                  <w:rPr>
                    <w:rFonts w:ascii="Arial" w:hAnsi="Arial" w:cs="Arial" w:eastAsia="Arial"/>
                    <w:b/>
                    <w:bCs/>
                    <w:color w:val="7F7F7F"/>
                    <w:spacing w:val="0"/>
                    <w:w w:val="100"/>
                    <w:sz w:val="24"/>
                    <w:szCs w:val="24"/>
                  </w:rPr>
                  <w:t>Marine</w:t>
                </w:r>
                <w:r>
                  <w:rPr>
                    <w:rFonts w:ascii="Arial" w:hAnsi="Arial" w:cs="Arial" w:eastAsia="Arial"/>
                    <w:b/>
                    <w:bCs/>
                    <w:color w:val="7F7F7F"/>
                    <w:spacing w:val="-1"/>
                    <w:w w:val="100"/>
                    <w:sz w:val="24"/>
                    <w:szCs w:val="24"/>
                  </w:rPr>
                  <w:t> </w:t>
                </w:r>
                <w:r>
                  <w:rPr>
                    <w:rFonts w:ascii="Arial" w:hAnsi="Arial" w:cs="Arial" w:eastAsia="Arial"/>
                    <w:b/>
                    <w:bCs/>
                    <w:color w:val="7F7F7F"/>
                    <w:spacing w:val="0"/>
                    <w:w w:val="100"/>
                    <w:sz w:val="24"/>
                    <w:szCs w:val="24"/>
                  </w:rPr>
                  <w:t>Coatings</w:t>
                </w:r>
                <w:r>
                  <w:rPr>
                    <w:rFonts w:ascii="Arial" w:hAnsi="Arial" w:cs="Arial" w:eastAsia="Arial"/>
                    <w:color w:val="000000"/>
                    <w:spacing w:val="0"/>
                    <w:w w:val="100"/>
                    <w:sz w:val="24"/>
                    <w:szCs w:val="24"/>
                  </w:rPr>
                </w:r>
              </w:p>
              <w:p>
                <w:pPr>
                  <w:spacing w:before="3" w:after="0" w:line="100" w:lineRule="exact"/>
                  <w:jc w:val="left"/>
                  <w:rPr>
                    <w:sz w:val="10"/>
                    <w:szCs w:val="10"/>
                  </w:rPr>
                </w:pPr>
                <w:r>
                  <w:rPr>
                    <w:sz w:val="10"/>
                    <w:szCs w:val="10"/>
                  </w:rPr>
                </w:r>
              </w:p>
              <w:p>
                <w:pPr>
                  <w:spacing w:before="0" w:after="0" w:line="222" w:lineRule="auto"/>
                  <w:ind w:left="20" w:right="604"/>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第</w:t>
                </w:r>
                <w:r>
                  <w:rPr>
                    <w:rFonts w:ascii="Arial Unicode MS" w:hAnsi="Arial Unicode MS" w:cs="Arial Unicode MS" w:eastAsia="Arial Unicode MS"/>
                    <w:spacing w:val="0"/>
                    <w:w w:val="100"/>
                    <w:sz w:val="14"/>
                    <w:szCs w:val="14"/>
                  </w:rPr>
                  <w:t> </w:t>
                </w:r>
                <w:r>
                  <w:rPr/>
                  <w:fldChar w:fldCharType="begin"/>
                </w:r>
                <w:r>
                  <w:rPr>
                    <w:rFonts w:ascii="Arial Unicode MS" w:hAnsi="Arial Unicode MS" w:cs="Arial Unicode MS" w:eastAsia="Arial Unicode MS"/>
                    <w:spacing w:val="0"/>
                    <w:w w:val="100"/>
                    <w:sz w:val="14"/>
                    <w:szCs w:val="14"/>
                  </w:rPr>
                  <w:instrText> PAGE </w:instrText>
                </w:r>
                <w:r>
                  <w:rPr/>
                  <w:fldChar w:fldCharType="separate"/>
                </w:r>
                <w:r>
                  <w:rPr/>
                  <w:t>1</w:t>
                </w:r>
                <w:r>
                  <w:rPr/>
                  <w:fldChar w:fldCharType="end"/>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页，共</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发行日期：2009/7/7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资料来源269</w:t>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575" type="#_x0000_t75">
          <v:imagedata r:id="rId1" o:title=""/>
        </v:shape>
      </w:pict>
    </w:r>
    <w:r>
      <w:rPr/>
      <w:pict>
        <v:shapetype id="_x0000_t202" o:spt="202" coordsize="21600,21600" path="m,l,21600r21600,l21600,xe">
          <v:stroke joinstyle="miter"/>
          <v:path gradientshapeok="t" o:connecttype="rect"/>
        </v:shapetype>
        <v:shape style="position:absolute;margin-left:414.480896pt;margin-top:13.964228pt;width:149.546903pt;height:39.970127pt;mso-position-horizontal-relative:page;mso-position-vertical-relative:page;z-index:-574"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263</w:t>
                </w:r>
                <w:r>
                  <w:rPr>
                    <w:rFonts w:ascii="Arial Unicode MS" w:hAnsi="Arial Unicode MS" w:cs="Arial Unicode MS" w:eastAsia="Arial Unicode MS"/>
                    <w:spacing w:val="0"/>
                    <w:w w:val="100"/>
                    <w:position w:val="0"/>
                    <w:sz w:val="48"/>
                    <w:szCs w:val="48"/>
                  </w:rPr>
                </w:r>
              </w:p>
              <w:p>
                <w:pPr>
                  <w:spacing w:before="0" w:after="0" w:line="262" w:lineRule="exact"/>
                  <w:ind w:left="1871"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环氧连接漆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570" type="#_x0000_t75">
          <v:imagedata r:id="rId1" o:title=""/>
        </v:shape>
      </w:pict>
    </w:r>
    <w:r>
      <w:rPr/>
      <w:pict>
        <v:shape style="position:absolute;margin-left:414.480896pt;margin-top:13.964228pt;width:149.546903pt;height:39.970127pt;mso-position-horizontal-relative:page;mso-position-vertical-relative:page;z-index:-569"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263</w:t>
                </w:r>
                <w:r>
                  <w:rPr>
                    <w:rFonts w:ascii="Arial Unicode MS" w:hAnsi="Arial Unicode MS" w:cs="Arial Unicode MS" w:eastAsia="Arial Unicode MS"/>
                    <w:spacing w:val="0"/>
                    <w:w w:val="100"/>
                    <w:position w:val="0"/>
                    <w:sz w:val="48"/>
                    <w:szCs w:val="48"/>
                  </w:rPr>
                </w:r>
              </w:p>
              <w:p>
                <w:pPr>
                  <w:spacing w:before="0" w:after="0" w:line="262" w:lineRule="exact"/>
                  <w:ind w:left="1871"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环氧连接漆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568" type="#_x0000_t75">
          <v:imagedata r:id="rId1" o:title=""/>
        </v:shape>
      </w:pict>
    </w:r>
    <w:r>
      <w:rPr/>
      <w:pict>
        <v:shape style="position:absolute;margin-left:414.480896pt;margin-top:13.964228pt;width:149.546903pt;height:39.970127pt;mso-position-horizontal-relative:page;mso-position-vertical-relative:page;z-index:-567"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263</w:t>
                </w:r>
                <w:r>
                  <w:rPr>
                    <w:rFonts w:ascii="Arial Unicode MS" w:hAnsi="Arial Unicode MS" w:cs="Arial Unicode MS" w:eastAsia="Arial Unicode MS"/>
                    <w:spacing w:val="0"/>
                    <w:w w:val="100"/>
                    <w:position w:val="0"/>
                    <w:sz w:val="48"/>
                    <w:szCs w:val="48"/>
                  </w:rPr>
                </w:r>
              </w:p>
              <w:p>
                <w:pPr>
                  <w:spacing w:before="0" w:after="0" w:line="262" w:lineRule="exact"/>
                  <w:ind w:left="1871"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环氧连接漆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5.jpg"/><Relationship Id="rId10" Type="http://schemas.openxmlformats.org/officeDocument/2006/relationships/hyperlink" Target="http://www.international-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PdfGen</dc:creator>
  <cp:keywords>Chinese Simplified Marine Coatings Intergard 263 环氧连接漆 Intergard 1 07/07/2009 Intergard 263 I 269 chi-s</cp:keywords>
  <dc:subject>Technical Datasheet</dc:subject>
  <dc:title>Intergard 263</dc:title>
  <dcterms:created xsi:type="dcterms:W3CDTF">2015-07-27T15:49:20Z</dcterms:created>
  <dcterms:modified xsi:type="dcterms:W3CDTF">2015-07-27T15:49:20Z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2015-07-27T00:00:00Z</vt:filetime>
  </property>
</Properties>
</file>